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77D5F">
      <w:pPr>
        <w:ind w:firstLine="0" w:firstLineChars="0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bidi="ar"/>
        </w:rPr>
        <w:t>附件</w:t>
      </w:r>
      <w:r>
        <w:rPr>
          <w:rFonts w:ascii="黑体" w:hAnsi="黑体" w:eastAsia="黑体" w:cs="黑体"/>
          <w:color w:val="auto"/>
          <w:sz w:val="32"/>
          <w:szCs w:val="32"/>
          <w:lang w:bidi="ar"/>
        </w:rPr>
        <w:t>1</w:t>
      </w:r>
    </w:p>
    <w:p w14:paraId="67667950">
      <w:pPr>
        <w:spacing w:after="360" w:line="360" w:lineRule="auto"/>
        <w:jc w:val="center"/>
        <w:rPr>
          <w:rFonts w:hint="eastAsia" w:ascii="黑体" w:hAnsi="黑体" w:eastAsia="黑体"/>
          <w:b/>
          <w:sz w:val="44"/>
          <w:lang w:val="en-US" w:eastAsia="zh-CN"/>
        </w:rPr>
      </w:pPr>
      <w:r>
        <w:rPr>
          <w:rFonts w:hint="eastAsia" w:ascii="黑体" w:hAnsi="黑体" w:eastAsia="黑体"/>
          <w:b/>
          <w:sz w:val="44"/>
          <w:lang w:val="en-US" w:eastAsia="zh-CN"/>
        </w:rPr>
        <w:t>合肥市科技馆2026年全国科普月系列活动——“重器流韵·欢乐夜汇”科学晚会项目采购需求</w:t>
      </w:r>
    </w:p>
    <w:p w14:paraId="6C160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一、项目概况与基本要求</w:t>
      </w:r>
    </w:p>
    <w:p w14:paraId="1A1002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合肥市科技馆2026年全国科普月系列活动——“重器流韵·欢乐夜汇”科学晚会项目</w:t>
      </w:r>
    </w:p>
    <w:p w14:paraId="326FAB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举办时间：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2026年11月11日、12日晚（具体演出日期以采购人通知为准）。</w:t>
      </w:r>
    </w:p>
    <w:p w14:paraId="1B400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举办地点：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蜀西湖馆区负一层科学剧场。</w:t>
      </w:r>
    </w:p>
    <w:p w14:paraId="77FE93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每场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70-90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分钟。</w:t>
      </w:r>
    </w:p>
    <w:p w14:paraId="158129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节目规模：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序篇＋3个篇章＋尾声，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不少于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9个正式节目；篇章分别为“探微·量子”“逐日·聚变”“问天·深空”。</w:t>
      </w:r>
    </w:p>
    <w:p w14:paraId="568CC2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目标受众：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社会公众</w:t>
      </w:r>
    </w:p>
    <w:p w14:paraId="02573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二、晚会内容与节目要求</w:t>
      </w:r>
    </w:p>
    <w:p w14:paraId="56C59D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总体要求：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晚会紧扣合肥大科学装置，以“AI创作+真人演绎”呈现从微观量子到宏观聚变、再到深空探测的探索故事，将大科学装置转化为可感知的城市名片与科学文化消费场景。</w:t>
      </w:r>
    </w:p>
    <w:p w14:paraId="1560A4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篇章与时长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（具体节目名称、形式与编排以采购人最终确认的节目单及实施方案为准）：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635"/>
        <w:gridCol w:w="2045"/>
      </w:tblGrid>
      <w:tr w14:paraId="2B37B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880" w:type="dxa"/>
            <w:vAlign w:val="center"/>
          </w:tcPr>
          <w:p w14:paraId="638C6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板块</w:t>
            </w:r>
          </w:p>
        </w:tc>
        <w:tc>
          <w:tcPr>
            <w:tcW w:w="3691" w:type="dxa"/>
            <w:vAlign w:val="center"/>
          </w:tcPr>
          <w:p w14:paraId="4F35A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核心科学装置/主题</w:t>
            </w:r>
          </w:p>
        </w:tc>
        <w:tc>
          <w:tcPr>
            <w:tcW w:w="2069" w:type="dxa"/>
            <w:vAlign w:val="center"/>
          </w:tcPr>
          <w:p w14:paraId="58666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时长</w:t>
            </w:r>
          </w:p>
        </w:tc>
      </w:tr>
      <w:tr w14:paraId="5290A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 w14:paraId="6AD80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序篇</w:t>
            </w:r>
          </w:p>
        </w:tc>
        <w:tc>
          <w:tcPr>
            <w:tcW w:w="3691" w:type="dxa"/>
            <w:vAlign w:val="center"/>
          </w:tcPr>
          <w:p w14:paraId="63D9C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活动主题片（合肥大科学装置与科技宣传）</w:t>
            </w:r>
          </w:p>
        </w:tc>
        <w:tc>
          <w:tcPr>
            <w:tcW w:w="2069" w:type="dxa"/>
            <w:vAlign w:val="center"/>
          </w:tcPr>
          <w:p w14:paraId="7B265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不少于3分钟</w:t>
            </w:r>
          </w:p>
        </w:tc>
      </w:tr>
      <w:tr w14:paraId="012F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 w14:paraId="53077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第一篇章</w:t>
            </w:r>
          </w:p>
          <w:p w14:paraId="0A037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探微·量子</w:t>
            </w:r>
          </w:p>
        </w:tc>
        <w:tc>
          <w:tcPr>
            <w:tcW w:w="3691" w:type="dxa"/>
            <w:vAlign w:val="center"/>
          </w:tcPr>
          <w:p w14:paraId="1E780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量子信息：墨子号、九章、祖冲之号</w:t>
            </w:r>
          </w:p>
        </w:tc>
        <w:tc>
          <w:tcPr>
            <w:tcW w:w="2069" w:type="dxa"/>
            <w:vAlign w:val="center"/>
          </w:tcPr>
          <w:p w14:paraId="760E7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20-30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分钟</w:t>
            </w:r>
          </w:p>
        </w:tc>
      </w:tr>
      <w:tr w14:paraId="7067F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 w14:paraId="31B88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第二篇章</w:t>
            </w:r>
          </w:p>
          <w:p w14:paraId="5F1C9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逐日·聚变</w:t>
            </w:r>
          </w:p>
        </w:tc>
        <w:tc>
          <w:tcPr>
            <w:tcW w:w="3691" w:type="dxa"/>
            <w:vAlign w:val="center"/>
          </w:tcPr>
          <w:p w14:paraId="3F72F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核聚变：EAST（全超导托卡马克）、聚变堆主机关键系统综合研究设施</w:t>
            </w:r>
          </w:p>
        </w:tc>
        <w:tc>
          <w:tcPr>
            <w:tcW w:w="2069" w:type="dxa"/>
            <w:vAlign w:val="center"/>
          </w:tcPr>
          <w:p w14:paraId="68D49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15-25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分钟</w:t>
            </w:r>
          </w:p>
        </w:tc>
      </w:tr>
      <w:tr w14:paraId="61E1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vAlign w:val="center"/>
          </w:tcPr>
          <w:p w14:paraId="6E1E3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第三篇章</w:t>
            </w:r>
          </w:p>
          <w:p w14:paraId="4F0AF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问天·深空</w:t>
            </w:r>
          </w:p>
        </w:tc>
        <w:tc>
          <w:tcPr>
            <w:tcW w:w="3691" w:type="dxa"/>
            <w:vAlign w:val="center"/>
          </w:tcPr>
          <w:p w14:paraId="39C8B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天都实验室</w:t>
            </w:r>
          </w:p>
        </w:tc>
        <w:tc>
          <w:tcPr>
            <w:tcW w:w="2069" w:type="dxa"/>
            <w:vAlign w:val="center"/>
          </w:tcPr>
          <w:p w14:paraId="294A7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15-25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分钟</w:t>
            </w:r>
          </w:p>
        </w:tc>
      </w:tr>
    </w:tbl>
    <w:p w14:paraId="5F16D4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内容方向：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各篇章须围绕对应大科学装置，将真实科学数据、概念与叙事转化为可听可看的视听体验；鼓励运用数据转音乐、AI视觉生成、人机协同演绎等手段降低认知门槛、保留科学严谨。</w:t>
      </w:r>
    </w:p>
    <w:p w14:paraId="1276AC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创意方案与节目编排：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投标人应基于上述框架提交创意方案与节目框架，最终以采购人确认的节目单、脚本及舞台调度方案为准；节目调整不影响本合同已约定的服务范围与验收标准。</w:t>
      </w:r>
    </w:p>
    <w:p w14:paraId="57207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三、AI创作与科学准确性要求</w:t>
      </w:r>
    </w:p>
    <w:p w14:paraId="031FE4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投标人须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科学顾问+导演双审核机制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AI生成内容须经“AI生成—人工审核—科学顾问把关”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审核流程，确保物理概念准确、史实无误。</w:t>
      </w:r>
    </w:p>
    <w:p w14:paraId="2BE51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AI生成内容（含音乐、视觉、音效、诗歌意象等）须为原创或已取得合法授权，版权清晰、可商用，交付时须提供原创声明或授权证明。</w:t>
      </w:r>
    </w:p>
    <w:p w14:paraId="10BC30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数据转音乐、AI视觉生成等须基于真实科学数据，经科学顾问确认后方可用于正式演出，严禁硬核概念错误。</w:t>
      </w:r>
    </w:p>
    <w:p w14:paraId="341E87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科学性与艺术性平衡：在降低认知门槛的同时，不得歪曲或夸大科学事实。</w:t>
      </w:r>
    </w:p>
    <w:p w14:paraId="55095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四、演出团队与人员要求</w:t>
      </w:r>
    </w:p>
    <w:p w14:paraId="5CB50D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投标人须组建完整执行团队，至少包含：项目总导演、舞台监督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主持，以及化妆、舞台技术、现场执行等工作人员。须提供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满足演出需要的演员、演奏/演唱人员。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每场演出演员人数不少于65人（含节目创排）。</w:t>
      </w:r>
    </w:p>
    <w:p w14:paraId="47FAB5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如涉及未成年参演人员（童声合唱），项目配置的带队指导老师须具备二级演员及以上专业职称资质。</w:t>
      </w:r>
    </w:p>
    <w:p w14:paraId="22B67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团队规模、专业配置及人员数量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须经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由馆方确认。</w:t>
      </w:r>
    </w:p>
    <w:p w14:paraId="00C53C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须保障两天的演出质量稳定，并配合采购人完成全流程彩排与技术合成。</w:t>
      </w:r>
    </w:p>
    <w:p w14:paraId="34D07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五、舞台临时设备与道具</w:t>
      </w:r>
    </w:p>
    <w:p w14:paraId="42BE57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灯光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音响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系统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配置和数量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不低于以下标准：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1867"/>
        <w:gridCol w:w="4035"/>
      </w:tblGrid>
      <w:tr w14:paraId="61695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</w:tcPr>
          <w:p w14:paraId="65E9C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936" w:type="dxa"/>
          </w:tcPr>
          <w:p w14:paraId="220CA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4203" w:type="dxa"/>
          </w:tcPr>
          <w:p w14:paraId="3D797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参数</w:t>
            </w:r>
          </w:p>
        </w:tc>
      </w:tr>
      <w:tr w14:paraId="5082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</w:tcPr>
          <w:p w14:paraId="38406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切割灯</w:t>
            </w:r>
          </w:p>
        </w:tc>
        <w:tc>
          <w:tcPr>
            <w:tcW w:w="1936" w:type="dxa"/>
          </w:tcPr>
          <w:p w14:paraId="139D0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8台</w:t>
            </w:r>
          </w:p>
        </w:tc>
        <w:tc>
          <w:tcPr>
            <w:tcW w:w="4203" w:type="dxa"/>
          </w:tcPr>
          <w:p w14:paraId="68BB0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LED光源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功率不低于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1400w</w:t>
            </w:r>
          </w:p>
        </w:tc>
      </w:tr>
      <w:tr w14:paraId="10A26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</w:tcPr>
          <w:p w14:paraId="4891A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光束灯</w:t>
            </w:r>
          </w:p>
        </w:tc>
        <w:tc>
          <w:tcPr>
            <w:tcW w:w="1936" w:type="dxa"/>
          </w:tcPr>
          <w:p w14:paraId="50298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30台</w:t>
            </w:r>
          </w:p>
        </w:tc>
        <w:tc>
          <w:tcPr>
            <w:tcW w:w="4203" w:type="dxa"/>
          </w:tcPr>
          <w:p w14:paraId="742FF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功率不低于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380w</w:t>
            </w:r>
          </w:p>
        </w:tc>
      </w:tr>
      <w:tr w14:paraId="0E71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</w:tcPr>
          <w:p w14:paraId="54674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LED染色灯</w:t>
            </w:r>
          </w:p>
        </w:tc>
        <w:tc>
          <w:tcPr>
            <w:tcW w:w="1936" w:type="dxa"/>
          </w:tcPr>
          <w:p w14:paraId="30969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20只</w:t>
            </w:r>
          </w:p>
        </w:tc>
        <w:tc>
          <w:tcPr>
            <w:tcW w:w="4203" w:type="dxa"/>
          </w:tcPr>
          <w:p w14:paraId="2A970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全彩200W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以上</w:t>
            </w:r>
          </w:p>
        </w:tc>
      </w:tr>
      <w:tr w14:paraId="703BD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</w:tcPr>
          <w:p w14:paraId="35964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SHURE无线话筒</w:t>
            </w:r>
          </w:p>
        </w:tc>
        <w:tc>
          <w:tcPr>
            <w:tcW w:w="1936" w:type="dxa"/>
          </w:tcPr>
          <w:p w14:paraId="5B765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不少于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6套</w:t>
            </w:r>
          </w:p>
        </w:tc>
        <w:tc>
          <w:tcPr>
            <w:tcW w:w="4203" w:type="dxa"/>
          </w:tcPr>
          <w:p w14:paraId="0B3BE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DFF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</w:tcPr>
          <w:p w14:paraId="32EC7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面光TRUSS架立柱</w:t>
            </w:r>
          </w:p>
        </w:tc>
        <w:tc>
          <w:tcPr>
            <w:tcW w:w="6139" w:type="dxa"/>
            <w:gridSpan w:val="2"/>
          </w:tcPr>
          <w:p w14:paraId="56F41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满足灯光架设需求，为确保稳固，建议规格不低于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400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cm*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400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cm</w:t>
            </w:r>
          </w:p>
        </w:tc>
      </w:tr>
      <w:tr w14:paraId="7C70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  <w:shd w:val="clear" w:color="auto" w:fill="auto"/>
            <w:vAlign w:val="top"/>
          </w:tcPr>
          <w:p w14:paraId="3C777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灯光音响技术师</w:t>
            </w:r>
          </w:p>
        </w:tc>
        <w:tc>
          <w:tcPr>
            <w:tcW w:w="1936" w:type="dxa"/>
            <w:shd w:val="clear" w:color="auto" w:fill="auto"/>
            <w:vAlign w:val="top"/>
          </w:tcPr>
          <w:p w14:paraId="41810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不少于3人</w:t>
            </w:r>
          </w:p>
        </w:tc>
        <w:tc>
          <w:tcPr>
            <w:tcW w:w="4203" w:type="dxa"/>
          </w:tcPr>
          <w:p w14:paraId="03C8B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39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7" w:type="dxa"/>
          </w:tcPr>
          <w:p w14:paraId="5C341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设备往返运输和专业装拆技术员</w:t>
            </w:r>
          </w:p>
        </w:tc>
        <w:tc>
          <w:tcPr>
            <w:tcW w:w="6139" w:type="dxa"/>
            <w:gridSpan w:val="2"/>
          </w:tcPr>
          <w:p w14:paraId="1115A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该晚会配套的相关设备的拆装须在短时间内完成，不得影响运营开馆期间的日常演出，建议配备不少于6人。</w:t>
            </w:r>
          </w:p>
        </w:tc>
      </w:tr>
    </w:tbl>
    <w:p w14:paraId="18DB0D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灯光设备配置与数量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及搭建的具体方案须经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馆方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认可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，须满足晚会氛围与效果需求。</w:t>
      </w:r>
    </w:p>
    <w:p w14:paraId="1AB519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舞台道具与舞美（剧场内）：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道具、服装、简易舞美与氛围布置由馆方确认。</w:t>
      </w:r>
    </w:p>
    <w:p w14:paraId="5B9D8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设备与搭建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须符合场馆安全标准，不影响展厅正常运营；所报设备与服务如有缺项、漏项，由中标方免费补齐。</w:t>
      </w:r>
    </w:p>
    <w:p w14:paraId="60543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六、进度节点</w:t>
      </w:r>
    </w:p>
    <w:p w14:paraId="1D03D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创作阶段：中标后至2026年10月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10日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前，完成方案深化、AI创作测试、科学准确性终审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提交各个节目内容大纲，背景视频小样，AI创作小样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 w14:paraId="4794D8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排练阶段：2026年10月完成节目排练、视觉素材制作、舞台技术对接。</w:t>
      </w:r>
    </w:p>
    <w:p w14:paraId="1D3481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进场合成：2026年11月上旬完成进场搭建、技术合成、带妆彩排。</w:t>
      </w:r>
    </w:p>
    <w:p w14:paraId="690EA9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正式演出：2026年11月11日、12日晚。</w:t>
      </w:r>
    </w:p>
    <w:p w14:paraId="2C6D4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七、版权与责任</w:t>
      </w:r>
    </w:p>
    <w:p w14:paraId="65410E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中标方保证活动中使用的音乐、音效、舞蹈、演奏乐曲、图片与视频素材不存在版权争议；如因此引发纠纷，由中标方承担全部法律责任。</w:t>
      </w:r>
    </w:p>
    <w:p w14:paraId="35E7FB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所报设备与服务的完整性由中标方负责，出现缺项、漏项应由中标方免费补齐。</w:t>
      </w:r>
    </w:p>
    <w:p w14:paraId="1BE57A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舞台搭建、设备运输与演出过程中的安全责任由中标方承担，须符合采购人场馆安全管理规定。</w:t>
      </w:r>
    </w:p>
    <w:p w14:paraId="0734F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八、应急预案与撤场</w:t>
      </w:r>
    </w:p>
    <w:p w14:paraId="2723A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中标方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评估活动可能存在的风险因素，制定详细的风险控制措施与突发事件应急响应计划，明确处理流程与责任人。</w:t>
      </w:r>
    </w:p>
    <w:p w14:paraId="0A37F6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按照活动计划高效、安全地完成撤场，恢复场地并确保整洁，不留安全隐患；配合采购人完成撤展所需流程与材料。</w:t>
      </w:r>
    </w:p>
    <w:p w14:paraId="58E38E68">
      <w:pPr>
        <w:rPr>
          <w:b w:val="0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程行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00F17"/>
    <w:rsid w:val="0D900F17"/>
    <w:rsid w:val="3EF37A7E"/>
    <w:rsid w:val="62AF39BF"/>
    <w:rsid w:val="64370594"/>
    <w:rsid w:val="7CCC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0" w:leftChars="0"/>
      <w:jc w:val="center"/>
    </w:pPr>
    <w:rPr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1794</Words>
  <Characters>1885</Characters>
  <Lines>0</Lines>
  <Paragraphs>0</Paragraphs>
  <TotalTime>1</TotalTime>
  <ScaleCrop>false</ScaleCrop>
  <LinksUpToDate>false</LinksUpToDate>
  <CharactersWithSpaces>1887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2026-09-05T05:35:00Z</dcterms:created>
  <dc:creator>刘天才</dc:creator>
  <cp:lastModifiedBy>刘天才</cp:lastModifiedBy>
  <dcterms:modified xsi:type="dcterms:W3CDTF">2026-09-08T08:43:02Z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11A812FE8379473684A1205417B0773D_11</vt:lpwstr>
  </property>
  <property fmtid="{D5CDD505-2E9C-101B-9397-08002B2CF9AE}" pid="4" name="KSOTemplateDocerSaveRecord">
    <vt:lpwstr>eyJoZGlkIjoiZTk3MWMwY2VkNGZjYTUxYTVkNGUyYmQ4NzhhODY4NGUiLCJ1c2VySWQiOiIyNjgzMjkzOTgifQ==</vt:lpwstr>
  </property>
</Properties>
</file>