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D9DF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方正小标宋_GBK" w:hAnsi="方正小标宋_GBK" w:eastAsia="方正小标宋_GBK" w:cs="方正小标宋_GBK"/>
          <w:b/>
          <w:bCs/>
          <w:sz w:val="44"/>
          <w:szCs w:val="44"/>
          <w:lang w:val="en-US" w:eastAsia="zh-CN"/>
        </w:rPr>
      </w:pPr>
      <w:r>
        <w:rPr>
          <w:rFonts w:hint="eastAsia" w:ascii="仿宋_GB2312" w:hAnsi="仿宋_GB2312" w:eastAsia="仿宋_GB2312" w:cs="仿宋_GB2312"/>
          <w:color w:val="auto"/>
          <w:lang w:val="en-US" w:eastAsia="zh-CN" w:bidi="ar"/>
        </w:rPr>
        <w:t>附件</w:t>
      </w:r>
      <w:r>
        <w:rPr>
          <w:rFonts w:hint="eastAsia" w:ascii="仿宋_GB2312" w:hAnsi="仿宋_GB2312" w:cs="仿宋_GB2312"/>
          <w:color w:val="auto"/>
          <w:lang w:val="en-US" w:eastAsia="zh-CN" w:bidi="ar"/>
        </w:rPr>
        <w:t>1</w:t>
      </w:r>
      <w:bookmarkStart w:id="1" w:name="_GoBack"/>
      <w:bookmarkEnd w:id="1"/>
      <w:r>
        <w:rPr>
          <w:rFonts w:hint="eastAsia" w:ascii="仿宋_GB2312" w:hAnsi="仿宋_GB2312" w:eastAsia="仿宋_GB2312" w:cs="仿宋_GB2312"/>
          <w:color w:val="auto"/>
          <w:lang w:val="en-US" w:eastAsia="zh-CN" w:bidi="ar"/>
        </w:rPr>
        <w:t>：</w:t>
      </w:r>
    </w:p>
    <w:p w14:paraId="2F9569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《失落的世界之消逝的动物》</w:t>
      </w:r>
    </w:p>
    <w:p w14:paraId="2843F8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bCs w:val="0"/>
          <w:color w:val="auto"/>
          <w:sz w:val="44"/>
          <w:szCs w:val="44"/>
          <w:shd w:val="clear" w:color="auto" w:fill="auto"/>
          <w:lang w:val="en-US" w:eastAsia="zh-CN"/>
        </w:rPr>
      </w:pPr>
      <w:r>
        <w:rPr>
          <w:rFonts w:hint="eastAsia" w:ascii="仿宋" w:hAnsi="仿宋" w:eastAsia="仿宋" w:cs="仿宋"/>
          <w:b/>
          <w:bCs w:val="0"/>
          <w:color w:val="auto"/>
          <w:sz w:val="44"/>
          <w:szCs w:val="44"/>
          <w:shd w:val="clear" w:color="auto" w:fill="auto"/>
          <w:lang w:val="en-US" w:eastAsia="zh-CN"/>
        </w:rPr>
        <w:t>融合型电子音像出版物项目</w:t>
      </w:r>
    </w:p>
    <w:p w14:paraId="38820AEF">
      <w:pPr>
        <w:spacing w:line="592" w:lineRule="exact"/>
        <w:ind w:firstLine="0" w:firstLineChars="0"/>
        <w:jc w:val="center"/>
        <w:rPr>
          <w:rFonts w:hint="eastAsia" w:ascii="黑体" w:hAnsi="黑体" w:eastAsia="黑体" w:cs="黑体"/>
          <w:b/>
          <w:bCs/>
          <w:sz w:val="36"/>
          <w:szCs w:val="36"/>
          <w:lang w:val="en-US" w:eastAsia="zh-CN"/>
        </w:rPr>
      </w:pPr>
      <w:r>
        <w:rPr>
          <w:rFonts w:hint="eastAsia" w:ascii="仿宋" w:hAnsi="仿宋" w:eastAsia="仿宋" w:cs="仿宋"/>
          <w:b/>
          <w:bCs/>
          <w:sz w:val="44"/>
          <w:szCs w:val="44"/>
          <w:lang w:val="en-US" w:eastAsia="zh-CN"/>
        </w:rPr>
        <w:t>采购需求</w:t>
      </w:r>
    </w:p>
    <w:p w14:paraId="049B571D">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黑体" w:hAnsi="黑体" w:eastAsia="黑体" w:cs="Times New Roman"/>
          <w:bCs w:val="0"/>
          <w:color w:val="000000"/>
          <w:kern w:val="0"/>
          <w:sz w:val="32"/>
          <w:szCs w:val="32"/>
          <w:lang w:val="en-US" w:eastAsia="zh-CN"/>
        </w:rPr>
      </w:pPr>
      <w:r>
        <w:rPr>
          <w:rFonts w:hint="eastAsia" w:ascii="黑体" w:hAnsi="黑体" w:eastAsia="黑体" w:cs="Times New Roman"/>
          <w:bCs w:val="0"/>
          <w:color w:val="000000"/>
          <w:kern w:val="0"/>
          <w:sz w:val="32"/>
          <w:szCs w:val="32"/>
          <w:lang w:val="en-US" w:eastAsia="zh-CN"/>
        </w:rPr>
        <w:t>一、</w:t>
      </w:r>
      <w:r>
        <w:rPr>
          <w:rFonts w:hint="default" w:ascii="黑体" w:hAnsi="黑体" w:eastAsia="黑体" w:cs="Times New Roman"/>
          <w:bCs w:val="0"/>
          <w:color w:val="000000"/>
          <w:kern w:val="0"/>
          <w:sz w:val="32"/>
          <w:szCs w:val="32"/>
          <w:lang w:val="en-US" w:eastAsia="zh-CN"/>
        </w:rPr>
        <w:t>项目概况</w:t>
      </w:r>
    </w:p>
    <w:p w14:paraId="5FD47B6A">
      <w:pPr>
        <w:spacing w:line="572" w:lineRule="exact"/>
        <w:ind w:firstLine="640" w:firstLineChars="200"/>
        <w:jc w:val="both"/>
        <w:rPr>
          <w:rFonts w:hint="eastAsia" w:ascii="仿宋" w:hAnsi="仿宋" w:eastAsia="仿宋" w:cs="仿宋"/>
          <w:color w:val="000000"/>
          <w:sz w:val="32"/>
          <w:szCs w:val="32"/>
          <w:lang w:val="en-US" w:eastAsia="zh-CN"/>
        </w:rPr>
      </w:pPr>
      <w:r>
        <w:rPr>
          <w:rFonts w:hint="eastAsia" w:ascii="仿宋" w:hAnsi="仿宋" w:eastAsia="仿宋" w:cs="仿宋"/>
          <w:bCs/>
          <w:color w:val="auto"/>
          <w:kern w:val="2"/>
          <w:szCs w:val="32"/>
          <w:lang w:val="en-US" w:eastAsia="zh-CN" w:bidi="ar"/>
        </w:rPr>
        <w:t>为精准聚焦生物多样性保护这一科普热点话题，进一步呈现自然展厅“失落的世界”（序厅）展品35种灭绝动物的生命故事，充分发挥“失落的世界</w:t>
      </w:r>
      <w:bookmarkStart w:id="0" w:name="OLE_LINK1"/>
      <w:r>
        <w:rPr>
          <w:rFonts w:hint="eastAsia" w:ascii="仿宋" w:hAnsi="仿宋" w:eastAsia="仿宋" w:cs="仿宋"/>
          <w:bCs/>
          <w:color w:val="auto"/>
          <w:kern w:val="2"/>
          <w:szCs w:val="32"/>
          <w:lang w:val="en-US" w:eastAsia="zh-CN" w:bidi="ar"/>
        </w:rPr>
        <w:t>”</w:t>
      </w:r>
      <w:bookmarkEnd w:id="0"/>
      <w:r>
        <w:rPr>
          <w:rFonts w:hint="eastAsia" w:ascii="仿宋" w:hAnsi="仿宋" w:eastAsia="仿宋" w:cs="仿宋"/>
          <w:bCs/>
          <w:color w:val="auto"/>
          <w:kern w:val="2"/>
          <w:szCs w:val="32"/>
          <w:lang w:val="en-US" w:eastAsia="zh-CN" w:bidi="ar"/>
        </w:rPr>
        <w:t>展品的教育价值。展教部着手策划开发系列融合型文创产品，并同步配套科普活动课程，为观众提供“观展+课程+手工实践”相结合的沉浸式学习体验。项目需定制配套绘本图册、4种主题动物手工耗材包、音频故事及科普活动课程方案。</w:t>
      </w:r>
    </w:p>
    <w:p w14:paraId="3D2E55FC">
      <w:pPr>
        <w:keepNext w:val="0"/>
        <w:keepLines w:val="0"/>
        <w:pageBreakBefore w:val="0"/>
        <w:widowControl w:val="0"/>
        <w:kinsoku/>
        <w:wordWrap/>
        <w:overflowPunct/>
        <w:topLinePunct w:val="0"/>
        <w:autoSpaceDE/>
        <w:autoSpaceDN/>
        <w:bidi w:val="0"/>
        <w:adjustRightInd/>
        <w:snapToGrid/>
        <w:spacing w:line="592" w:lineRule="exact"/>
        <w:ind w:firstLine="643"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
          <w:bCs w:val="0"/>
          <w:color w:val="auto"/>
          <w:kern w:val="2"/>
          <w:szCs w:val="32"/>
          <w:lang w:val="en-US" w:eastAsia="zh-CN" w:bidi="ar"/>
        </w:rPr>
        <w:t>出版要求表</w:t>
      </w:r>
      <w:r>
        <w:rPr>
          <w:rFonts w:hint="eastAsia" w:ascii="仿宋" w:hAnsi="仿宋" w:eastAsia="仿宋" w:cs="仿宋"/>
          <w:bCs/>
          <w:color w:val="auto"/>
          <w:kern w:val="2"/>
          <w:szCs w:val="32"/>
          <w:lang w:val="en-US" w:eastAsia="zh-CN" w:bidi="ar"/>
        </w:rPr>
        <w:t>如下（以下为本次项目图书出版基础要求，投标人可在本参数基础上优化提升质量标准）：</w:t>
      </w:r>
    </w:p>
    <w:tbl>
      <w:tblPr>
        <w:tblStyle w:val="9"/>
        <w:tblW w:w="8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675"/>
        <w:gridCol w:w="3306"/>
        <w:gridCol w:w="1502"/>
        <w:gridCol w:w="1182"/>
      </w:tblGrid>
      <w:tr w14:paraId="74D3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2" w:type="dxa"/>
          </w:tcPr>
          <w:p w14:paraId="46C5E88A">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jc w:val="center"/>
              <w:textAlignment w:val="auto"/>
              <w:rPr>
                <w:rFonts w:hint="default" w:ascii="黑体" w:hAnsi="黑体" w:eastAsia="黑体" w:cs="Times New Roman"/>
                <w:bCs w:val="0"/>
                <w:color w:val="000000"/>
                <w:kern w:val="0"/>
                <w:sz w:val="32"/>
                <w:szCs w:val="32"/>
                <w:vertAlign w:val="baseline"/>
                <w:lang w:val="en-US" w:eastAsia="zh-CN"/>
              </w:rPr>
            </w:pPr>
            <w:r>
              <w:rPr>
                <w:rFonts w:hint="eastAsia" w:ascii="黑体" w:hAnsi="黑体" w:eastAsia="黑体" w:cs="Times New Roman"/>
                <w:bCs w:val="0"/>
                <w:color w:val="000000"/>
                <w:kern w:val="0"/>
                <w:sz w:val="32"/>
                <w:szCs w:val="32"/>
                <w:vertAlign w:val="baseline"/>
                <w:lang w:val="en-US" w:eastAsia="zh-CN"/>
              </w:rPr>
              <w:t>序号</w:t>
            </w:r>
          </w:p>
        </w:tc>
        <w:tc>
          <w:tcPr>
            <w:tcW w:w="1675" w:type="dxa"/>
          </w:tcPr>
          <w:p w14:paraId="127963CE">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jc w:val="center"/>
              <w:textAlignment w:val="auto"/>
              <w:rPr>
                <w:rFonts w:hint="default" w:ascii="黑体" w:hAnsi="黑体" w:eastAsia="黑体" w:cs="Times New Roman"/>
                <w:bCs w:val="0"/>
                <w:color w:val="000000"/>
                <w:kern w:val="0"/>
                <w:sz w:val="32"/>
                <w:szCs w:val="32"/>
                <w:vertAlign w:val="baseline"/>
                <w:lang w:val="en-US" w:eastAsia="zh-CN"/>
              </w:rPr>
            </w:pPr>
            <w:r>
              <w:rPr>
                <w:rFonts w:hint="eastAsia" w:ascii="黑体" w:hAnsi="黑体" w:eastAsia="黑体" w:cs="Times New Roman"/>
                <w:bCs w:val="0"/>
                <w:color w:val="000000"/>
                <w:kern w:val="0"/>
                <w:sz w:val="32"/>
                <w:szCs w:val="32"/>
                <w:vertAlign w:val="baseline"/>
                <w:lang w:val="en-US" w:eastAsia="zh-CN"/>
              </w:rPr>
              <w:t>采购事项</w:t>
            </w:r>
          </w:p>
        </w:tc>
        <w:tc>
          <w:tcPr>
            <w:tcW w:w="3306" w:type="dxa"/>
          </w:tcPr>
          <w:p w14:paraId="0C7A1116">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jc w:val="center"/>
              <w:textAlignment w:val="auto"/>
              <w:rPr>
                <w:rFonts w:hint="default" w:ascii="黑体" w:hAnsi="黑体" w:eastAsia="黑体" w:cs="Times New Roman"/>
                <w:bCs w:val="0"/>
                <w:color w:val="000000"/>
                <w:kern w:val="0"/>
                <w:sz w:val="32"/>
                <w:szCs w:val="32"/>
                <w:vertAlign w:val="baseline"/>
                <w:lang w:val="en-US" w:eastAsia="zh-CN"/>
              </w:rPr>
            </w:pPr>
            <w:r>
              <w:rPr>
                <w:rFonts w:hint="eastAsia" w:ascii="黑体" w:hAnsi="黑体" w:eastAsia="黑体" w:cs="Times New Roman"/>
                <w:bCs w:val="0"/>
                <w:color w:val="000000"/>
                <w:kern w:val="0"/>
                <w:sz w:val="32"/>
                <w:szCs w:val="32"/>
                <w:vertAlign w:val="baseline"/>
                <w:lang w:val="en-US" w:eastAsia="zh-CN"/>
              </w:rPr>
              <w:t>采购内容及要求</w:t>
            </w:r>
          </w:p>
        </w:tc>
        <w:tc>
          <w:tcPr>
            <w:tcW w:w="1502" w:type="dxa"/>
          </w:tcPr>
          <w:p w14:paraId="2D21D495">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jc w:val="center"/>
              <w:textAlignment w:val="auto"/>
              <w:rPr>
                <w:rFonts w:hint="default" w:ascii="黑体" w:hAnsi="黑体" w:eastAsia="黑体" w:cs="Times New Roman"/>
                <w:bCs w:val="0"/>
                <w:color w:val="000000"/>
                <w:kern w:val="0"/>
                <w:sz w:val="32"/>
                <w:szCs w:val="32"/>
                <w:vertAlign w:val="baseline"/>
                <w:lang w:val="en-US" w:eastAsia="zh-CN"/>
              </w:rPr>
            </w:pPr>
            <w:r>
              <w:rPr>
                <w:rFonts w:hint="eastAsia" w:ascii="黑体" w:hAnsi="黑体" w:eastAsia="黑体" w:cs="Times New Roman"/>
                <w:bCs w:val="0"/>
                <w:color w:val="000000"/>
                <w:kern w:val="0"/>
                <w:sz w:val="32"/>
                <w:szCs w:val="32"/>
                <w:vertAlign w:val="baseline"/>
                <w:lang w:val="en-US" w:eastAsia="zh-CN"/>
              </w:rPr>
              <w:t>数量</w:t>
            </w:r>
          </w:p>
        </w:tc>
        <w:tc>
          <w:tcPr>
            <w:tcW w:w="1182" w:type="dxa"/>
          </w:tcPr>
          <w:p w14:paraId="0A7F48F6">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jc w:val="center"/>
              <w:textAlignment w:val="auto"/>
              <w:rPr>
                <w:rFonts w:hint="default" w:ascii="黑体" w:hAnsi="黑体" w:eastAsia="黑体" w:cs="Times New Roman"/>
                <w:bCs w:val="0"/>
                <w:color w:val="000000"/>
                <w:kern w:val="0"/>
                <w:sz w:val="32"/>
                <w:szCs w:val="32"/>
                <w:vertAlign w:val="baseline"/>
                <w:lang w:val="en-US" w:eastAsia="zh-CN"/>
              </w:rPr>
            </w:pPr>
            <w:r>
              <w:rPr>
                <w:rFonts w:hint="eastAsia" w:ascii="黑体" w:hAnsi="黑体" w:eastAsia="黑体" w:cs="Times New Roman"/>
                <w:bCs w:val="0"/>
                <w:color w:val="000000"/>
                <w:kern w:val="0"/>
                <w:sz w:val="32"/>
                <w:szCs w:val="32"/>
                <w:vertAlign w:val="baseline"/>
                <w:lang w:val="en-US" w:eastAsia="zh-CN"/>
              </w:rPr>
              <w:t>单位</w:t>
            </w:r>
          </w:p>
        </w:tc>
      </w:tr>
      <w:tr w14:paraId="3C49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7FB31B97">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1</w:t>
            </w:r>
          </w:p>
        </w:tc>
        <w:tc>
          <w:tcPr>
            <w:tcW w:w="1675" w:type="dxa"/>
          </w:tcPr>
          <w:p w14:paraId="5FA3851D">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bidi="ar-SA"/>
                <w14:textFill>
                  <w14:solidFill>
                    <w14:schemeClr w14:val="tx1"/>
                  </w14:solidFill>
                </w14:textFill>
              </w:rPr>
              <w:t>主题</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电子音像出版物策划、设计服务</w:t>
            </w:r>
          </w:p>
        </w:tc>
        <w:tc>
          <w:tcPr>
            <w:tcW w:w="3306" w:type="dxa"/>
          </w:tcPr>
          <w:p w14:paraId="209734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kern w:val="2"/>
                <w:sz w:val="32"/>
                <w:szCs w:val="32"/>
                <w:vertAlign w:val="baseline"/>
                <w:lang w:val="en-US" w:eastAsia="zh-CN" w:bidi="ar-SA"/>
                <w14:textFill>
                  <w14:solidFill>
                    <w14:schemeClr w14:val="tx1"/>
                  </w14:solidFill>
                </w14:textFill>
              </w:rPr>
              <w:t>1.</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包括出版物策划及设计、图册内文</w:t>
            </w:r>
            <w:r>
              <w:rPr>
                <w:rFonts w:hint="eastAsia" w:ascii="仿宋" w:hAnsi="仿宋" w:eastAsia="仿宋" w:cs="仿宋"/>
                <w:b w:val="0"/>
                <w:bCs w:val="0"/>
                <w:color w:val="000000" w:themeColor="text1"/>
                <w:sz w:val="32"/>
                <w:szCs w:val="32"/>
                <w:vertAlign w:val="baseline"/>
                <w:lang w:val="en-US" w:eastAsia="zh-Hans"/>
                <w14:textFill>
                  <w14:solidFill>
                    <w14:schemeClr w14:val="tx1"/>
                  </w14:solidFill>
                </w14:textFill>
              </w:rPr>
              <w:t>排版</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设计、编校等；</w:t>
            </w:r>
          </w:p>
          <w:p w14:paraId="66D88E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kern w:val="2"/>
                <w:sz w:val="32"/>
                <w:szCs w:val="32"/>
                <w:vertAlign w:val="baseline"/>
                <w:lang w:val="en-US" w:eastAsia="zh-CN" w:bidi="ar-SA"/>
                <w14:textFill>
                  <w14:solidFill>
                    <w14:schemeClr w14:val="tx1"/>
                  </w14:solidFill>
                </w14:textFill>
              </w:rPr>
              <w:t>2.</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具体要求：</w:t>
            </w:r>
          </w:p>
          <w:p w14:paraId="58146E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（1）</w:t>
            </w:r>
            <w:r>
              <w:rPr>
                <w:rFonts w:hint="eastAsia" w:ascii="仿宋" w:hAnsi="仿宋" w:eastAsia="仿宋" w:cs="仿宋"/>
                <w:bCs/>
                <w:color w:val="000000" w:themeColor="text1"/>
                <w:sz w:val="32"/>
                <w:szCs w:val="32"/>
                <w:lang w:val="en-US" w:bidi="zh-CN"/>
                <w14:textFill>
                  <w14:solidFill>
                    <w14:schemeClr w14:val="tx1"/>
                  </w14:solidFill>
                </w14:textFill>
              </w:rPr>
              <w:t>出版物以电子音像出版物的形式出版，确保图册内容和手工耗材的科学性、趣味性。</w:t>
            </w:r>
          </w:p>
          <w:p w14:paraId="2F94AA72">
            <w:pPr>
              <w:keepNext w:val="0"/>
              <w:keepLines w:val="0"/>
              <w:widowControl/>
              <w:numPr>
                <w:ilvl w:val="0"/>
                <w:numId w:val="0"/>
              </w:numPr>
              <w:suppressLineNumbers w:val="0"/>
              <w:spacing w:before="0" w:beforeAutospacing="0" w:after="0" w:afterAutospacing="0" w:line="240" w:lineRule="auto"/>
              <w:ind w:left="0" w:right="0"/>
              <w:jc w:val="both"/>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（2）</w:t>
            </w:r>
            <w:r>
              <w:rPr>
                <w:rFonts w:hint="eastAsia" w:ascii="仿宋" w:hAnsi="仿宋" w:eastAsia="仿宋" w:cs="仿宋"/>
                <w:bCs/>
                <w:color w:val="000000" w:themeColor="text1"/>
                <w:sz w:val="32"/>
                <w:szCs w:val="32"/>
                <w:lang w:val="en-US" w:bidi="zh-CN"/>
                <w14:textFill>
                  <w14:solidFill>
                    <w14:schemeClr w14:val="tx1"/>
                  </w14:solidFill>
                </w14:textFill>
              </w:rPr>
              <w:t>中标人需组建专业编辑团队，完成内容深化、编审定稿、图文校验，严格执行国家出版行业标准的三校三审流程，确保编校质量达标。</w:t>
            </w:r>
          </w:p>
          <w:p w14:paraId="5B7C9B57">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出版物须具备国家主管部门颁发的正规出版物版号。</w:t>
            </w:r>
          </w:p>
          <w:p w14:paraId="25CB3227">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文字及插图不得有任何著作权与肖像权等法律纠纷。</w:t>
            </w:r>
          </w:p>
          <w:p w14:paraId="6F722F00">
            <w:pPr>
              <w:keepNext w:val="0"/>
              <w:keepLines w:val="0"/>
              <w:widowControl/>
              <w:numPr>
                <w:ilvl w:val="0"/>
                <w:numId w:val="0"/>
              </w:numPr>
              <w:suppressLineNumbers w:val="0"/>
              <w:spacing w:before="0" w:beforeAutospacing="0" w:after="0" w:afterAutospacing="0" w:line="240" w:lineRule="auto"/>
              <w:ind w:left="0" w:right="0"/>
              <w:jc w:val="both"/>
              <w:rPr>
                <w:rFonts w:hint="eastAsia" w:ascii="仿宋" w:hAnsi="仿宋" w:eastAsia="仿宋" w:cs="仿宋"/>
                <w:bCs/>
                <w:color w:val="000000" w:themeColor="text1"/>
                <w:sz w:val="32"/>
                <w:szCs w:val="32"/>
                <w:lang w:val="en-US" w:bidi="zh-CN"/>
                <w14:textFill>
                  <w14:solidFill>
                    <w14:schemeClr w14:val="tx1"/>
                  </w14:solidFill>
                </w14:textFill>
              </w:rPr>
            </w:pPr>
            <w:r>
              <w:rPr>
                <w:rFonts w:hint="eastAsia" w:ascii="仿宋" w:hAnsi="仿宋" w:eastAsia="仿宋" w:cs="仿宋"/>
                <w:bCs/>
                <w:color w:val="000000" w:themeColor="text1"/>
                <w:sz w:val="32"/>
                <w:szCs w:val="32"/>
                <w:lang w:val="en-US" w:bidi="zh-CN"/>
                <w14:textFill>
                  <w14:solidFill>
                    <w14:schemeClr w14:val="tx1"/>
                  </w14:solidFill>
                </w14:textFill>
              </w:rPr>
              <w:t>（5）适用范围：开展科学教育活动的科普场馆、科学教育机构等；开展科学课教学活动的教师及学生；对儿童进行科学启蒙教育的家长；科学爱好者等。</w:t>
            </w:r>
          </w:p>
          <w:p w14:paraId="69B2AF16">
            <w:pPr>
              <w:keepNext w:val="0"/>
              <w:keepLines w:val="0"/>
              <w:widowControl/>
              <w:numPr>
                <w:ilvl w:val="0"/>
                <w:numId w:val="0"/>
              </w:numPr>
              <w:suppressLineNumbers w:val="0"/>
              <w:spacing w:before="0" w:beforeAutospacing="0" w:after="0" w:afterAutospacing="0" w:line="240" w:lineRule="auto"/>
              <w:ind w:left="0" w:right="0"/>
              <w:jc w:val="both"/>
              <w:rPr>
                <w:rFonts w:hint="eastAsia" w:ascii="仿宋" w:hAnsi="仿宋" w:eastAsia="仿宋" w:cs="仿宋"/>
                <w:bCs/>
                <w:color w:val="000000" w:themeColor="text1"/>
                <w:sz w:val="32"/>
                <w:szCs w:val="32"/>
                <w:lang w:val="en-US" w:eastAsia="zh-CN" w:bidi="zh-CN"/>
                <w14:textFill>
                  <w14:solidFill>
                    <w14:schemeClr w14:val="tx1"/>
                  </w14:solidFill>
                </w14:textFill>
              </w:rPr>
            </w:pPr>
            <w:r>
              <w:rPr>
                <w:rFonts w:hint="eastAsia" w:ascii="仿宋" w:hAnsi="仿宋" w:eastAsia="仿宋" w:cs="仿宋"/>
                <w:bCs/>
                <w:color w:val="000000" w:themeColor="text1"/>
                <w:sz w:val="32"/>
                <w:szCs w:val="32"/>
                <w:lang w:val="en-US" w:eastAsia="zh-CN" w:bidi="zh-CN"/>
                <w14:textFill>
                  <w14:solidFill>
                    <w14:schemeClr w14:val="tx1"/>
                  </w14:solidFill>
                </w14:textFill>
              </w:rPr>
              <w:t>（6）图册封面、内文设计、开本尺寸、所用纸张、装订方式由中标人提供设计方案，经采购人审核通过后方可实行。</w:t>
            </w:r>
          </w:p>
          <w:p w14:paraId="525A43D7">
            <w:pPr>
              <w:keepNext w:val="0"/>
              <w:keepLines w:val="0"/>
              <w:widowControl/>
              <w:numPr>
                <w:ilvl w:val="0"/>
                <w:numId w:val="0"/>
              </w:numPr>
              <w:suppressLineNumbers w:val="0"/>
              <w:spacing w:before="0" w:beforeAutospacing="0" w:after="0" w:afterAutospacing="0" w:line="240" w:lineRule="auto"/>
              <w:ind w:left="0" w:right="0"/>
              <w:jc w:val="both"/>
              <w:rPr>
                <w:rFonts w:hint="eastAsia" w:ascii="仿宋" w:hAnsi="仿宋" w:eastAsia="仿宋" w:cs="仿宋"/>
                <w:bCs/>
                <w:color w:val="000000" w:themeColor="text1"/>
                <w:sz w:val="32"/>
                <w:szCs w:val="32"/>
                <w:lang w:val="en-US" w:eastAsia="zh-CN" w:bidi="zh-CN"/>
                <w14:textFill>
                  <w14:solidFill>
                    <w14:schemeClr w14:val="tx1"/>
                  </w14:solidFill>
                </w14:textFill>
              </w:rPr>
            </w:pPr>
            <w:r>
              <w:rPr>
                <w:rFonts w:hint="eastAsia" w:ascii="仿宋" w:hAnsi="仿宋" w:eastAsia="仿宋" w:cs="仿宋"/>
                <w:bCs/>
                <w:color w:val="000000" w:themeColor="text1"/>
                <w:sz w:val="32"/>
                <w:szCs w:val="32"/>
                <w:lang w:val="en-US" w:eastAsia="zh-CN" w:bidi="zh-CN"/>
                <w14:textFill>
                  <w14:solidFill>
                    <w14:schemeClr w14:val="tx1"/>
                  </w14:solidFill>
                </w14:textFill>
              </w:rPr>
              <w:t>（7）图册为图文混排，文字数量不少于1.5万字，配图不少于35张；中标人负责出版印刷数量不少于2000册。</w:t>
            </w:r>
          </w:p>
          <w:p w14:paraId="30BE2850">
            <w:pPr>
              <w:keepNext w:val="0"/>
              <w:keepLines w:val="0"/>
              <w:widowControl/>
              <w:numPr>
                <w:ilvl w:val="0"/>
                <w:numId w:val="0"/>
              </w:numPr>
              <w:suppressLineNumbers w:val="0"/>
              <w:spacing w:before="0" w:beforeAutospacing="0" w:after="0" w:afterAutospacing="0" w:line="240" w:lineRule="auto"/>
              <w:ind w:left="0" w:right="0"/>
              <w:jc w:val="both"/>
              <w:rPr>
                <w:rFonts w:hint="eastAsia" w:ascii="仿宋" w:hAnsi="仿宋" w:eastAsia="仿宋" w:cs="仿宋"/>
                <w:bCs/>
                <w:color w:val="000000" w:themeColor="text1"/>
                <w:sz w:val="32"/>
                <w:szCs w:val="32"/>
                <w:lang w:val="en-US" w:eastAsia="zh-CN" w:bidi="zh-CN"/>
                <w14:textFill>
                  <w14:solidFill>
                    <w14:schemeClr w14:val="tx1"/>
                  </w14:solidFill>
                </w14:textFill>
              </w:rPr>
            </w:pPr>
            <w:r>
              <w:rPr>
                <w:rFonts w:hint="eastAsia" w:ascii="仿宋" w:hAnsi="仿宋" w:eastAsia="仿宋" w:cs="仿宋"/>
                <w:bCs/>
                <w:color w:val="000000" w:themeColor="text1"/>
                <w:sz w:val="32"/>
                <w:szCs w:val="32"/>
                <w:lang w:val="en-US" w:eastAsia="zh-CN" w:bidi="zh-CN"/>
                <w14:textFill>
                  <w14:solidFill>
                    <w14:schemeClr w14:val="tx1"/>
                  </w14:solidFill>
                </w14:textFill>
              </w:rPr>
              <w:t>（8）图册成品要求不低于以下标准：尺寸为大度16开；页数不少于38，装帧方式为精装；正文采用157克哑粉纸；采用四色彩印；封面采用UV工艺。</w:t>
            </w:r>
          </w:p>
          <w:p w14:paraId="21391E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b w:val="0"/>
                <w:bCs w:val="0"/>
                <w:color w:val="C00000"/>
                <w:sz w:val="32"/>
                <w:szCs w:val="32"/>
                <w:vertAlign w:val="baseline"/>
                <w:lang w:val="en-US" w:eastAsia="zh-CN"/>
              </w:rPr>
            </w:pPr>
          </w:p>
        </w:tc>
        <w:tc>
          <w:tcPr>
            <w:tcW w:w="1502" w:type="dxa"/>
          </w:tcPr>
          <w:p w14:paraId="107066DF">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1</w:t>
            </w:r>
          </w:p>
        </w:tc>
        <w:tc>
          <w:tcPr>
            <w:tcW w:w="1182" w:type="dxa"/>
          </w:tcPr>
          <w:p w14:paraId="5BF772E9">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套</w:t>
            </w:r>
          </w:p>
        </w:tc>
      </w:tr>
      <w:tr w14:paraId="6A13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322784DA">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2</w:t>
            </w:r>
          </w:p>
        </w:tc>
        <w:tc>
          <w:tcPr>
            <w:tcW w:w="1675" w:type="dxa"/>
          </w:tcPr>
          <w:p w14:paraId="2F647000">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插画绘制</w:t>
            </w:r>
          </w:p>
        </w:tc>
        <w:tc>
          <w:tcPr>
            <w:tcW w:w="3306" w:type="dxa"/>
          </w:tcPr>
          <w:p w14:paraId="2EA49F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1.出版物所含图册主要以绘本形式呈现35种灭绝动物；</w:t>
            </w:r>
          </w:p>
          <w:p w14:paraId="50B75C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2.具体要求：</w:t>
            </w:r>
          </w:p>
          <w:p w14:paraId="2DF81B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1）科学性要求：所有插画的画面细节可支撑科普内容的精准传递，符合古生物、动物学相关专业规范。（2）视觉适配性要求：插画风格统一，兼具科普严谨性与绘本的趣味性、审美性，画面色彩协调、构图合理，可有效提升图册可读性与科普感染力。</w:t>
            </w:r>
          </w:p>
          <w:p w14:paraId="07306A18">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（3）内容覆盖要求：为35种灭绝动物分别绘制对应主题插画，包含动物主体形象等，单物种插画数量适配绘本内容排版需求，无内容遗漏。</w:t>
            </w:r>
          </w:p>
        </w:tc>
        <w:tc>
          <w:tcPr>
            <w:tcW w:w="1502" w:type="dxa"/>
          </w:tcPr>
          <w:p w14:paraId="699FB4E1">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1</w:t>
            </w:r>
          </w:p>
        </w:tc>
        <w:tc>
          <w:tcPr>
            <w:tcW w:w="1182" w:type="dxa"/>
          </w:tcPr>
          <w:p w14:paraId="3D374C7B">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套</w:t>
            </w:r>
          </w:p>
        </w:tc>
      </w:tr>
      <w:tr w14:paraId="7C00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34FB8E70">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3</w:t>
            </w:r>
          </w:p>
        </w:tc>
        <w:tc>
          <w:tcPr>
            <w:tcW w:w="1675" w:type="dxa"/>
          </w:tcPr>
          <w:p w14:paraId="1A91FD5A">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手工耗材包1——立体纸艺机关耗材包设计（见概念图1）</w:t>
            </w:r>
          </w:p>
        </w:tc>
        <w:tc>
          <w:tcPr>
            <w:tcW w:w="3306" w:type="dxa"/>
          </w:tcPr>
          <w:p w14:paraId="744CAF60">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根据展厅主题及展品，设计4款立体纸艺机关手工耗材包；</w:t>
            </w:r>
          </w:p>
          <w:p w14:paraId="243F0C76">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具体要求：</w:t>
            </w:r>
          </w:p>
          <w:p w14:paraId="7409B6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eastAsia="仿宋" w:cs="仿宋"/>
                <w:b w:val="0"/>
                <w:bCs w:val="0"/>
                <w:color w:val="000000" w:themeColor="text1"/>
                <w:sz w:val="32"/>
                <w:szCs w:val="32"/>
                <w:vertAlign w:val="baseli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主题对标要求：4款手工耗材包分别对应4种已灭绝动物的主题，耗材包内部立体造型采用立体纸艺工艺，配套对应灭绝动物立体拼装组件，与展厅展品脉络、绘本核心内容完全对标。</w:t>
            </w:r>
          </w:p>
          <w:p w14:paraId="3DEC96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（2）可操作性要求：耗材包操作难度适配青少年群体，操作步骤清晰易懂，无需复杂专业工具，可独立完成；适配科技馆线下活动、校园课堂、家庭亲子等多场景使用。</w:t>
            </w:r>
          </w:p>
          <w:p w14:paraId="0A00B5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（3）安全与合规要求：耗材包采用无毒环保材质，无尖锐边角、无细小易吞咽配件，确保使用安全。</w:t>
            </w:r>
          </w:p>
          <w:p w14:paraId="27EF5EBF">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（4）内容配套要求：每个耗材包需包含完整的手工配件、操作说明，与绘本图册、活动课程内容深度联动；手工成品可作为科普教具、展陈辅助物料使用，实现科普内容的沉浸式传递。</w:t>
            </w:r>
          </w:p>
        </w:tc>
        <w:tc>
          <w:tcPr>
            <w:tcW w:w="1502" w:type="dxa"/>
          </w:tcPr>
          <w:p w14:paraId="2CBE05D3">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4</w:t>
            </w:r>
          </w:p>
        </w:tc>
        <w:tc>
          <w:tcPr>
            <w:tcW w:w="1182" w:type="dxa"/>
          </w:tcPr>
          <w:p w14:paraId="09FEF17E">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套</w:t>
            </w:r>
          </w:p>
        </w:tc>
      </w:tr>
      <w:tr w14:paraId="3106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3FA650AD">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4</w:t>
            </w:r>
          </w:p>
        </w:tc>
        <w:tc>
          <w:tcPr>
            <w:tcW w:w="1675" w:type="dxa"/>
          </w:tcPr>
          <w:p w14:paraId="59FC01F0">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手工耗材包2——翻翻卡设计（见概念图2）</w:t>
            </w:r>
          </w:p>
        </w:tc>
        <w:tc>
          <w:tcPr>
            <w:tcW w:w="3306" w:type="dxa"/>
          </w:tcPr>
          <w:p w14:paraId="2FB491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color w:val="000000" w:themeColor="text1"/>
                <w:kern w:val="2"/>
                <w:sz w:val="32"/>
                <w:szCs w:val="32"/>
                <w:lang w:val="en-US" w:eastAsia="zh-CN" w:bidi="ar-SA"/>
                <w14:textFill>
                  <w14:solidFill>
                    <w14:schemeClr w14:val="tx1"/>
                  </w14:solidFill>
                </w14:textFill>
              </w:rPr>
              <w:t>1.</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根据展厅主题及展品，设计35种翻翻卡耗材，翻翻卡可用圆环进行手工装订，包括以下内容：</w:t>
            </w:r>
          </w:p>
          <w:p w14:paraId="4487C9B4">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（1）动物名片</w:t>
            </w:r>
            <w:r>
              <w:rPr>
                <w:rFonts w:hint="eastAsia" w:ascii="仿宋" w:hAnsi="仿宋" w:eastAsia="仿宋" w:cs="仿宋"/>
                <w:color w:val="000000" w:themeColor="text1"/>
                <w:sz w:val="32"/>
                <w:szCs w:val="32"/>
                <w:lang w:eastAsia="zh-CN"/>
                <w14:textFill>
                  <w14:solidFill>
                    <w14:schemeClr w14:val="tx1"/>
                  </w14:solidFill>
                </w14:textFill>
              </w:rPr>
              <w:t>；</w:t>
            </w:r>
          </w:p>
          <w:p w14:paraId="3DA1E205">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）守护者承诺卡</w:t>
            </w:r>
            <w:r>
              <w:rPr>
                <w:rFonts w:hint="eastAsia" w:ascii="仿宋" w:hAnsi="仿宋" w:eastAsia="仿宋" w:cs="仿宋"/>
                <w:color w:val="000000" w:themeColor="text1"/>
                <w:sz w:val="32"/>
                <w:szCs w:val="32"/>
                <w:lang w:eastAsia="zh-CN"/>
                <w14:textFill>
                  <w14:solidFill>
                    <w14:schemeClr w14:val="tx1"/>
                  </w14:solidFill>
                </w14:textFill>
              </w:rPr>
              <w:t>；</w:t>
            </w:r>
          </w:p>
          <w:p w14:paraId="6B9B92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kern w:val="2"/>
                <w:sz w:val="32"/>
                <w:szCs w:val="32"/>
                <w:lang w:val="en-US" w:eastAsia="zh-CN" w:bidi="ar-SA"/>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任务卡</w:t>
            </w:r>
            <w:r>
              <w:rPr>
                <w:rFonts w:hint="eastAsia" w:ascii="仿宋" w:hAnsi="仿宋" w:eastAsia="仿宋" w:cs="仿宋"/>
                <w:color w:val="000000" w:themeColor="text1"/>
                <w:sz w:val="32"/>
                <w:szCs w:val="32"/>
                <w:lang w:eastAsia="zh-CN"/>
                <w14:textFill>
                  <w14:solidFill>
                    <w14:schemeClr w14:val="tx1"/>
                  </w14:solidFill>
                </w14:textFill>
              </w:rPr>
              <w:t>。</w:t>
            </w:r>
          </w:p>
          <w:p w14:paraId="48F0477D">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以上翻翻卡的设计需与活动课程开发内容做到深度联动。</w:t>
            </w:r>
          </w:p>
          <w:p w14:paraId="3FE91E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kern w:val="2"/>
                <w:sz w:val="32"/>
                <w:szCs w:val="32"/>
                <w:vertAlign w:val="baseline"/>
                <w:lang w:val="en-US" w:eastAsia="zh-CN" w:bidi="ar-SA"/>
                <w14:textFill>
                  <w14:solidFill>
                    <w14:schemeClr w14:val="tx1"/>
                  </w14:solidFill>
                </w14:textFill>
              </w:rPr>
              <w:t>2.</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具体要求：</w:t>
            </w:r>
          </w:p>
          <w:p w14:paraId="098646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（1）设计要求：卡片画面风格与绘本插画统一，内容对应灭绝动物相关科普信息、探究课题（任务卡）、守护承诺填写设计（</w:t>
            </w:r>
            <w:r>
              <w:rPr>
                <w:rFonts w:hint="eastAsia" w:ascii="仿宋" w:hAnsi="仿宋" w:eastAsia="仿宋" w:cs="仿宋"/>
                <w:color w:val="000000" w:themeColor="text1"/>
                <w:sz w:val="32"/>
                <w:szCs w:val="32"/>
                <w14:textFill>
                  <w14:solidFill>
                    <w14:schemeClr w14:val="tx1"/>
                  </w14:solidFill>
                </w14:textFill>
              </w:rPr>
              <w:t>守护者承诺卡</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w:t>
            </w:r>
          </w:p>
          <w:p w14:paraId="3E7FA6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（2）材质工艺：卡片采用环保加厚卡纸，印刷油墨符合国标，边角圆角处理无毛刺，满足使用安全；配备圆环配件，用于将翻翻卡装订成册。</w:t>
            </w:r>
          </w:p>
        </w:tc>
        <w:tc>
          <w:tcPr>
            <w:tcW w:w="1502" w:type="dxa"/>
          </w:tcPr>
          <w:p w14:paraId="4E0E3671">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1</w:t>
            </w:r>
          </w:p>
        </w:tc>
        <w:tc>
          <w:tcPr>
            <w:tcW w:w="1182" w:type="dxa"/>
          </w:tcPr>
          <w:p w14:paraId="3EB66C9D">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套</w:t>
            </w:r>
          </w:p>
        </w:tc>
      </w:tr>
      <w:tr w14:paraId="22F0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5DFCE74F">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5</w:t>
            </w:r>
          </w:p>
        </w:tc>
        <w:tc>
          <w:tcPr>
            <w:tcW w:w="1675" w:type="dxa"/>
          </w:tcPr>
          <w:p w14:paraId="313FD5E6">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配套音频录制</w:t>
            </w:r>
          </w:p>
        </w:tc>
        <w:tc>
          <w:tcPr>
            <w:tcW w:w="3306" w:type="dxa"/>
          </w:tcPr>
          <w:p w14:paraId="7DF7A4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出版物需为35种灭绝动物的绘本图册内容配套完整的专业音频故事；音频故事需要覆盖上述35种主要因人类影响灭绝的动物的生命故事，共制作35段独立音频，分别对应35种动物，总时长不少于70分钟；生动适配低龄群体收听需求，可直接用于展厅展陈、科普活动、家庭启蒙等场景。</w:t>
            </w:r>
          </w:p>
          <w:p w14:paraId="1CA5B1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2.音频需配备专属访问链接，以二维码形式直接附着于绘本出版物对应版面，扫码即可收听，并提供长期链路运营。</w:t>
            </w:r>
          </w:p>
        </w:tc>
        <w:tc>
          <w:tcPr>
            <w:tcW w:w="1502" w:type="dxa"/>
          </w:tcPr>
          <w:p w14:paraId="350F0BB4">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1</w:t>
            </w:r>
          </w:p>
        </w:tc>
        <w:tc>
          <w:tcPr>
            <w:tcW w:w="1182" w:type="dxa"/>
          </w:tcPr>
          <w:p w14:paraId="29961D12">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套</w:t>
            </w:r>
          </w:p>
        </w:tc>
      </w:tr>
      <w:tr w14:paraId="51BC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5DE51A5D">
            <w:pPr>
              <w:keepNext w:val="0"/>
              <w:keepLines w:val="0"/>
              <w:pageBreakBefore w:val="0"/>
              <w:widowControl w:val="0"/>
              <w:kinsoku/>
              <w:wordWrap/>
              <w:overflowPunct/>
              <w:topLinePunct w:val="0"/>
              <w:autoSpaceDE/>
              <w:autoSpaceDN/>
              <w:bidi w:val="0"/>
              <w:adjustRightInd/>
              <w:snapToGrid/>
              <w:spacing w:line="592" w:lineRule="exact"/>
              <w:ind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6</w:t>
            </w:r>
          </w:p>
        </w:tc>
        <w:tc>
          <w:tcPr>
            <w:tcW w:w="1675" w:type="dxa"/>
          </w:tcPr>
          <w:p w14:paraId="74D05A20">
            <w:pPr>
              <w:keepNext w:val="0"/>
              <w:keepLines w:val="0"/>
              <w:pageBreakBefore w:val="0"/>
              <w:widowControl w:val="0"/>
              <w:kinsoku/>
              <w:wordWrap/>
              <w:overflowPunct/>
              <w:topLinePunct w:val="0"/>
              <w:autoSpaceDE/>
              <w:autoSpaceDN/>
              <w:bidi w:val="0"/>
              <w:adjustRightInd/>
              <w:snapToGrid/>
              <w:spacing w:line="592" w:lineRule="exact"/>
              <w:ind w:firstLine="0" w:firstLineChars="0"/>
              <w:jc w:val="both"/>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活动课程开发</w:t>
            </w:r>
          </w:p>
        </w:tc>
        <w:tc>
          <w:tcPr>
            <w:tcW w:w="3306" w:type="dxa"/>
          </w:tcPr>
          <w:p w14:paraId="3D0B5D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kern w:val="2"/>
                <w:sz w:val="32"/>
                <w:szCs w:val="32"/>
                <w:vertAlign w:val="baseline"/>
                <w:lang w:val="en-US" w:eastAsia="zh-CN" w:bidi="ar-SA"/>
                <w14:textFill>
                  <w14:solidFill>
                    <w14:schemeClr w14:val="tx1"/>
                  </w14:solidFill>
                </w14:textFill>
              </w:rPr>
              <w:t>1.</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围绕4款手工耗材包对应动物主题，开发完整的“观展+课程+手工实践”一体化科普活动课程，包含教案、课件、配套教学素材等全流程内容，适配科技馆多场景科普活动使用。</w:t>
            </w:r>
          </w:p>
          <w:p w14:paraId="5EE2FA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kern w:val="2"/>
                <w:sz w:val="32"/>
                <w:szCs w:val="32"/>
                <w:vertAlign w:val="baseline"/>
                <w:lang w:val="en-US" w:eastAsia="zh-CN" w:bidi="ar-SA"/>
                <w14:textFill>
                  <w14:solidFill>
                    <w14:schemeClr w14:val="tx1"/>
                  </w14:solidFill>
                </w14:textFill>
              </w:rPr>
              <w:t>2.</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具体开发要求：</w:t>
            </w:r>
          </w:p>
          <w:p w14:paraId="6FA741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（1）内容体系要求：课程需对标展厅“失落的世界”展品核心知识点，与绘本图册、手工耗材包内容深度联动，形成完整的科普内容闭环；</w:t>
            </w:r>
          </w:p>
          <w:p w14:paraId="0B9C15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（2）全流程内容要求：每个主题课程需包含完整的教案、PPT课件、配套教学素材、互动环节设计、手工实践指引、课程效果评估方案等全链条内容，讲师可直接参照执行。</w:t>
            </w:r>
          </w:p>
          <w:p w14:paraId="139F32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left"/>
              <w:textAlignment w:val="auto"/>
              <w:outlineLvl w:val="9"/>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（3）适配性要求：课程设计兼顾趣味性与教育性，适配青少年的认知水平，设置互动问答、小组讨论、手工实践等多元环节，提升参与感与学习效果。</w:t>
            </w:r>
          </w:p>
        </w:tc>
        <w:tc>
          <w:tcPr>
            <w:tcW w:w="1502" w:type="dxa"/>
          </w:tcPr>
          <w:p w14:paraId="5275E7D9">
            <w:pPr>
              <w:keepNext w:val="0"/>
              <w:keepLines w:val="0"/>
              <w:pageBreakBefore w:val="0"/>
              <w:widowControl w:val="0"/>
              <w:kinsoku/>
              <w:wordWrap/>
              <w:overflowPunct/>
              <w:topLinePunct w:val="0"/>
              <w:autoSpaceDE/>
              <w:autoSpaceDN/>
              <w:bidi w:val="0"/>
              <w:adjustRightInd/>
              <w:snapToGrid/>
              <w:spacing w:line="592" w:lineRule="exact"/>
              <w:ind w:firstLine="0" w:firstLineChars="0"/>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1</w:t>
            </w:r>
          </w:p>
        </w:tc>
        <w:tc>
          <w:tcPr>
            <w:tcW w:w="1182" w:type="dxa"/>
          </w:tcPr>
          <w:p w14:paraId="6411DC46">
            <w:pPr>
              <w:keepNext w:val="0"/>
              <w:keepLines w:val="0"/>
              <w:pageBreakBefore w:val="0"/>
              <w:widowControl w:val="0"/>
              <w:kinsoku/>
              <w:wordWrap/>
              <w:overflowPunct/>
              <w:topLinePunct w:val="0"/>
              <w:autoSpaceDE/>
              <w:autoSpaceDN/>
              <w:bidi w:val="0"/>
              <w:adjustRightInd/>
              <w:snapToGrid/>
              <w:spacing w:line="592" w:lineRule="exact"/>
              <w:ind w:firstLine="0" w:firstLineChars="0"/>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套</w:t>
            </w:r>
          </w:p>
        </w:tc>
      </w:tr>
      <w:tr w14:paraId="2ADB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23B55D0F">
            <w:pPr>
              <w:keepNext w:val="0"/>
              <w:keepLines w:val="0"/>
              <w:pageBreakBefore w:val="0"/>
              <w:widowControl w:val="0"/>
              <w:kinsoku/>
              <w:wordWrap/>
              <w:overflowPunct/>
              <w:topLinePunct w:val="0"/>
              <w:autoSpaceDE/>
              <w:autoSpaceDN/>
              <w:bidi w:val="0"/>
              <w:adjustRightInd/>
              <w:snapToGrid/>
              <w:spacing w:line="592" w:lineRule="exact"/>
              <w:ind w:firstLine="0" w:firstLineChars="0"/>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7</w:t>
            </w:r>
          </w:p>
        </w:tc>
        <w:tc>
          <w:tcPr>
            <w:tcW w:w="1675" w:type="dxa"/>
          </w:tcPr>
          <w:p w14:paraId="1C931826">
            <w:pPr>
              <w:keepNext w:val="0"/>
              <w:keepLines w:val="0"/>
              <w:pageBreakBefore w:val="0"/>
              <w:widowControl w:val="0"/>
              <w:kinsoku/>
              <w:wordWrap/>
              <w:overflowPunct/>
              <w:topLinePunct w:val="0"/>
              <w:autoSpaceDE/>
              <w:autoSpaceDN/>
              <w:bidi w:val="0"/>
              <w:adjustRightInd/>
              <w:snapToGrid/>
              <w:spacing w:line="592" w:lineRule="exact"/>
              <w:ind w:left="0" w:leftChars="0" w:firstLine="0" w:firstLineChars="0"/>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印制</w:t>
            </w:r>
          </w:p>
        </w:tc>
        <w:tc>
          <w:tcPr>
            <w:tcW w:w="3306" w:type="dxa"/>
          </w:tcPr>
          <w:p w14:paraId="57546D2B">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包括出版物图册、4种手工耗材包、翻翻卡等配套产品的复制印刷。</w:t>
            </w:r>
          </w:p>
          <w:p w14:paraId="2A324061">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具体要求：</w:t>
            </w:r>
          </w:p>
          <w:p w14:paraId="7DB94B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0" w:firstLineChars="0"/>
              <w:jc w:val="left"/>
              <w:textAlignment w:val="auto"/>
              <w:outlineLvl w:val="9"/>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1）出版物所用纸张、油墨等原材料符合国家及行业制定公布的标准。确保印刷质量，在印刷过程中采购人根据需要可随时实地进行监察。如因印刷造成的质量损失，将无条件承担质量损失，应在规定时间内交付合格的产品。</w:t>
            </w:r>
          </w:p>
          <w:p w14:paraId="309AB2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0" w:firstLineChars="0"/>
              <w:jc w:val="left"/>
              <w:textAlignment w:val="auto"/>
              <w:outlineLvl w:val="9"/>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（2）</w:t>
            </w:r>
            <w:r>
              <w:rPr>
                <w:rFonts w:hint="eastAsia" w:ascii="仿宋" w:hAnsi="仿宋" w:eastAsia="仿宋" w:cs="仿宋"/>
                <w:bCs/>
                <w:color w:val="000000" w:themeColor="text1"/>
                <w:sz w:val="32"/>
                <w:szCs w:val="32"/>
                <w:lang w:val="en-US" w:bidi="zh-CN"/>
                <w14:textFill>
                  <w14:solidFill>
                    <w14:schemeClr w14:val="tx1"/>
                  </w14:solidFill>
                </w14:textFill>
              </w:rPr>
              <w:t>数量与交付要求：本次印制生产数量不少于2000套完整产品，每套产品包含1本绘本图册、4款对应主题的手工耗材包、翻翻卡；中标人需完成全部产品的最终质检、独立包装、物流配送，按采购人要求的时间、地点完成交付。</w:t>
            </w:r>
          </w:p>
        </w:tc>
        <w:tc>
          <w:tcPr>
            <w:tcW w:w="1502" w:type="dxa"/>
          </w:tcPr>
          <w:p w14:paraId="481D68A7">
            <w:pPr>
              <w:keepNext w:val="0"/>
              <w:keepLines w:val="0"/>
              <w:pageBreakBefore w:val="0"/>
              <w:widowControl w:val="0"/>
              <w:kinsoku/>
              <w:wordWrap/>
              <w:overflowPunct/>
              <w:topLinePunct w:val="0"/>
              <w:autoSpaceDE/>
              <w:autoSpaceDN/>
              <w:bidi w:val="0"/>
              <w:adjustRightInd/>
              <w:snapToGrid/>
              <w:spacing w:line="592" w:lineRule="exact"/>
              <w:ind w:firstLine="0" w:firstLineChars="0"/>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2000</w:t>
            </w:r>
          </w:p>
        </w:tc>
        <w:tc>
          <w:tcPr>
            <w:tcW w:w="1182" w:type="dxa"/>
          </w:tcPr>
          <w:p w14:paraId="19035053">
            <w:pPr>
              <w:keepNext w:val="0"/>
              <w:keepLines w:val="0"/>
              <w:pageBreakBefore w:val="0"/>
              <w:widowControl w:val="0"/>
              <w:kinsoku/>
              <w:wordWrap/>
              <w:overflowPunct/>
              <w:topLinePunct w:val="0"/>
              <w:autoSpaceDE/>
              <w:autoSpaceDN/>
              <w:bidi w:val="0"/>
              <w:adjustRightInd/>
              <w:snapToGrid/>
              <w:spacing w:line="592" w:lineRule="exact"/>
              <w:ind w:firstLine="0" w:firstLineChars="0"/>
              <w:jc w:val="center"/>
              <w:textAlignment w:val="auto"/>
              <w:rPr>
                <w:rFonts w:hint="eastAsia" w:ascii="仿宋" w:hAnsi="仿宋" w:eastAsia="仿宋" w:cs="仿宋"/>
                <w:bCs w:val="0"/>
                <w:color w:val="000000"/>
                <w:kern w:val="0"/>
                <w:sz w:val="32"/>
                <w:szCs w:val="32"/>
                <w:vertAlign w:val="baseline"/>
                <w:lang w:val="en-US" w:eastAsia="zh-CN"/>
              </w:rPr>
            </w:pPr>
            <w:r>
              <w:rPr>
                <w:rFonts w:hint="eastAsia" w:ascii="仿宋" w:hAnsi="仿宋" w:eastAsia="仿宋" w:cs="仿宋"/>
                <w:bCs w:val="0"/>
                <w:color w:val="000000"/>
                <w:kern w:val="0"/>
                <w:sz w:val="32"/>
                <w:szCs w:val="32"/>
                <w:vertAlign w:val="baseline"/>
                <w:lang w:val="en-US" w:eastAsia="zh-CN"/>
              </w:rPr>
              <w:t>套</w:t>
            </w:r>
          </w:p>
        </w:tc>
      </w:tr>
    </w:tbl>
    <w:p w14:paraId="445131F1">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黑体" w:hAnsi="黑体" w:eastAsia="黑体" w:cs="Times New Roman"/>
          <w:bCs w:val="0"/>
          <w:color w:val="000000"/>
          <w:kern w:val="0"/>
          <w:sz w:val="32"/>
          <w:szCs w:val="32"/>
          <w:lang w:val="en-US" w:eastAsia="zh-CN"/>
        </w:rPr>
      </w:pPr>
    </w:p>
    <w:p w14:paraId="63575995">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黑体" w:hAnsi="黑体" w:eastAsia="黑体" w:cs="Times New Roman"/>
          <w:bCs w:val="0"/>
          <w:color w:val="000000"/>
          <w:kern w:val="0"/>
          <w:sz w:val="32"/>
          <w:szCs w:val="32"/>
          <w:lang w:val="en-US" w:eastAsia="zh-CN"/>
        </w:rPr>
      </w:pPr>
      <w:r>
        <w:rPr>
          <w:rFonts w:hint="eastAsia" w:ascii="黑体" w:hAnsi="黑体" w:eastAsia="黑体" w:cs="Times New Roman"/>
          <w:bCs w:val="0"/>
          <w:color w:val="000000"/>
          <w:kern w:val="0"/>
          <w:sz w:val="32"/>
          <w:szCs w:val="32"/>
          <w:lang w:val="en-US" w:eastAsia="zh-CN"/>
        </w:rPr>
        <w:t>二、</w:t>
      </w:r>
      <w:r>
        <w:rPr>
          <w:rFonts w:hint="default" w:ascii="黑体" w:hAnsi="黑体" w:eastAsia="黑体" w:cs="Times New Roman"/>
          <w:bCs w:val="0"/>
          <w:color w:val="000000"/>
          <w:kern w:val="0"/>
          <w:sz w:val="32"/>
          <w:szCs w:val="32"/>
          <w:lang w:val="en-US" w:eastAsia="zh-CN"/>
        </w:rPr>
        <w:t>项目需求</w:t>
      </w:r>
    </w:p>
    <w:p w14:paraId="4681C4F3">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1.出版物服务</w:t>
      </w:r>
    </w:p>
    <w:p w14:paraId="5A29559E">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包括策划、组稿、编撰，审稿、校改、出版立项、纸质图书出版相关服务，中标人须提供人员上门服务。服务单位具有电子音像出版物出版资质，出版物具有正规ISBN号。</w:t>
      </w:r>
    </w:p>
    <w:p w14:paraId="25D88BFA">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2.设计服务</w:t>
      </w:r>
    </w:p>
    <w:p w14:paraId="5F5EAD82">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包含封面设计、版式设计、内容排版、退改校样等设计工作服务。</w:t>
      </w:r>
    </w:p>
    <w:p w14:paraId="7DF8D02C">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3.印装和运输服务</w:t>
      </w:r>
    </w:p>
    <w:p w14:paraId="044CE8E8">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根据项目要求运输到指定地点。</w:t>
      </w:r>
    </w:p>
    <w:p w14:paraId="053E0DCA">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黑体" w:hAnsi="黑体" w:eastAsia="黑体" w:cs="Times New Roman"/>
          <w:bCs w:val="0"/>
          <w:color w:val="000000"/>
          <w:kern w:val="0"/>
          <w:sz w:val="32"/>
          <w:szCs w:val="32"/>
          <w:lang w:val="en-US" w:eastAsia="zh-CN"/>
        </w:rPr>
      </w:pPr>
      <w:r>
        <w:rPr>
          <w:rFonts w:hint="default" w:ascii="黑体" w:hAnsi="黑体" w:eastAsia="黑体" w:cs="Times New Roman"/>
          <w:bCs w:val="0"/>
          <w:color w:val="000000"/>
          <w:kern w:val="0"/>
          <w:sz w:val="32"/>
          <w:szCs w:val="32"/>
          <w:lang w:val="en-US" w:eastAsia="zh-CN"/>
        </w:rPr>
        <w:t>三、其他要求</w:t>
      </w:r>
    </w:p>
    <w:p w14:paraId="3DCE60F1">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1.知识产权要求</w:t>
      </w:r>
    </w:p>
    <w:p w14:paraId="10DD49DC">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1.1中标人设计的出版物所有文字、插图、音频、设计等内容及衍生知识产权均归采购人独有。中标人须对项目相关内容严格保密，不得将该项目方案、文稿内容及相关成果用于本项目以外的其他任何用途，且不得侵犯任何第三方知识产权。若违反上述约定，由此产生的一切法律责任、经济损失及相关后果，均由中标人全额承担。</w:t>
      </w:r>
    </w:p>
    <w:p w14:paraId="45758336">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1.2中标人须保证其提供的服务及相关成果不存在任何知识产权侵权问题，不会因第三方提出侵犯其专利权、商标权、著作权或其他知识产权而引发法律纠纷或经济赔偿。若中标人对相关知识产权不享有所有权，则其投标报价中必须包含合法获取该知识产权的全部相关费用。如因知识产权问题导致采购人遭受损失的，中标人须承担全额赔偿责任及相关法律责任。</w:t>
      </w:r>
    </w:p>
    <w:p w14:paraId="41C4B52D">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2.报价要求</w:t>
      </w:r>
    </w:p>
    <w:p w14:paraId="036D6C90">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2.1 本项目须填报项目总价及配套分项报价单，分项报价单格式参考本采购需求中的出版要求表。</w:t>
      </w:r>
    </w:p>
    <w:p w14:paraId="574EB0D9">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2.2 本项目采用总价包干方式实施，包含《失落的世界》主题电子音像出版物全链条策划、图册内文排版设计、内容编辑加工、三校三审、装帧设计、印前校对、批量印刷、电子音像出版物制作、配套音频故事录制、手工耗材设计制作以及活动课程开发费用。项目成交后，采购人不再追加任何费用，中标人自行承担报价风险、市场波动风险及项目实施过程中的一切相关风险。</w:t>
      </w:r>
    </w:p>
    <w:p w14:paraId="78E27E90">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3.支付要求</w:t>
      </w:r>
    </w:p>
    <w:p w14:paraId="46A285D0">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3.1 本项目款项按合同履约进度分三期支付，具体为：合同签订生效后30个工作日内，支付合同总金额的40%作为预付款。</w:t>
      </w:r>
    </w:p>
    <w:p w14:paraId="65E690BC">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color w:val="000000"/>
          <w:sz w:val="32"/>
          <w:szCs w:val="32"/>
          <w:lang w:val="en-US" w:eastAsia="zh-CN" w:bidi="ar-SA"/>
        </w:rPr>
      </w:pPr>
      <w:r>
        <w:rPr>
          <w:rFonts w:hint="eastAsia" w:ascii="仿宋" w:hAnsi="仿宋" w:eastAsia="仿宋" w:cs="仿宋"/>
          <w:bCs/>
          <w:color w:val="auto"/>
          <w:kern w:val="2"/>
          <w:szCs w:val="32"/>
          <w:lang w:val="en-US" w:eastAsia="zh-CN" w:bidi="ar"/>
        </w:rPr>
        <w:t>3.2 2026年11月30日前，中标人完成项目核心创意、出版物内容制作及设计开发全部工作，</w:t>
      </w:r>
      <w:r>
        <w:rPr>
          <w:rFonts w:hint="eastAsia" w:ascii="仿宋" w:hAnsi="仿宋" w:eastAsia="仿宋" w:cs="仿宋"/>
          <w:color w:val="000000"/>
          <w:sz w:val="32"/>
          <w:szCs w:val="32"/>
          <w:lang w:val="en-US" w:eastAsia="zh-CN" w:bidi="ar-SA"/>
        </w:rPr>
        <w:t>经我馆检查确认无误后，支付合同总金额的40%作为中期款。</w:t>
      </w:r>
    </w:p>
    <w:p w14:paraId="1AC8F7CD">
      <w:pPr>
        <w:pStyle w:val="4"/>
        <w:keepNext w:val="0"/>
        <w:keepLines w:val="0"/>
        <w:pageBreakBefore w:val="0"/>
        <w:widowControl w:val="0"/>
        <w:kinsoku/>
        <w:wordWrap/>
        <w:overflowPunct/>
        <w:topLinePunct w:val="0"/>
        <w:autoSpaceDE/>
        <w:autoSpaceDN/>
        <w:bidi w:val="0"/>
        <w:adjustRightInd/>
        <w:snapToGrid/>
        <w:spacing w:before="181" w:beforeLines="50" w:after="181" w:afterLines="50" w:line="572" w:lineRule="exact"/>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color w:val="000000"/>
          <w:sz w:val="32"/>
          <w:szCs w:val="32"/>
          <w:lang w:val="en-US" w:eastAsia="zh-CN" w:bidi="ar-SA"/>
        </w:rPr>
        <w:t>3.3 中标人完成全部出版工作，将2000册科普绘本图册、音频故事、手工耗材包与配套课程等相结合的融合型电子音像出版物送达指定地点并经我馆全面验收合格后30个工作日内，支付合同总金额的20%尾款。</w:t>
      </w:r>
    </w:p>
    <w:p w14:paraId="55D397EF">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4.补充事项</w:t>
      </w:r>
    </w:p>
    <w:p w14:paraId="68997352">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4.1投标人应在充分研读招标公告及本采购需求文件的基础上，自行主动了解本项目服务内容、实施要求等相关详情，及时与采购人沟通确认疑问。如因投标人未及时了解相关信息导致报价缺项、漏项，或投标被否决、成交后无法按要求完成项目的，一切后果由投标人自行承担。</w:t>
      </w:r>
    </w:p>
    <w:p w14:paraId="39AA681A">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4.2若开标时，有效投标单位数量不足3家，本项目按规定流标。我馆将依法发布流标公告，并根据工作安排发布第二轮采购公告，后续采购工作按新公告要求执行。</w:t>
      </w:r>
    </w:p>
    <w:p w14:paraId="5CA65B78">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仿宋" w:hAnsi="仿宋" w:eastAsia="仿宋" w:cs="仿宋"/>
          <w:bCs/>
          <w:color w:val="auto"/>
          <w:kern w:val="2"/>
          <w:szCs w:val="32"/>
          <w:lang w:val="en-US" w:eastAsia="zh-CN" w:bidi="ar"/>
        </w:rPr>
      </w:pPr>
      <w:r>
        <w:rPr>
          <w:rFonts w:hint="eastAsia" w:ascii="仿宋" w:hAnsi="仿宋" w:eastAsia="仿宋" w:cs="仿宋"/>
          <w:bCs/>
          <w:color w:val="auto"/>
          <w:kern w:val="2"/>
          <w:szCs w:val="32"/>
          <w:lang w:val="en-US" w:eastAsia="zh-CN" w:bidi="ar"/>
        </w:rPr>
        <w:t>4.3 项目整体验收后，如采购人需追加采购《失落的世界出版物》成品，中标供应商须严格按照分项报价表列明的印刷响应单价作为基准单价供货，不能高于该价格。</w:t>
      </w:r>
    </w:p>
    <w:p w14:paraId="060A9C17">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p>
    <w:p w14:paraId="233B2062">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 w:hAnsi="仿宋" w:eastAsia="仿宋" w:cs="仿宋"/>
          <w:bCs/>
          <w:color w:val="auto"/>
          <w:kern w:val="2"/>
          <w:szCs w:val="32"/>
          <w:lang w:val="en-US" w:eastAsia="zh-CN" w:bidi="ar"/>
        </w:rPr>
      </w:pPr>
    </w:p>
    <w:p w14:paraId="036F21F4">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 w:hAnsi="仿宋" w:eastAsia="仿宋" w:cs="仿宋"/>
          <w:bCs/>
          <w:color w:val="auto"/>
          <w:kern w:val="2"/>
          <w:szCs w:val="32"/>
          <w:lang w:val="en-US" w:eastAsia="zh-CN" w:bidi="ar"/>
        </w:rPr>
      </w:pPr>
    </w:p>
    <w:p w14:paraId="374BB136">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Cs/>
          <w:color w:val="auto"/>
          <w:kern w:val="2"/>
          <w:szCs w:val="32"/>
          <w:lang w:val="en-US" w:eastAsia="zh-CN" w:bidi="ar"/>
        </w:rPr>
        <w:t>图1：</w:t>
      </w: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立体纸艺机关耗材包设计，以渡渡鸟为例</w:t>
      </w:r>
    </w:p>
    <w:p w14:paraId="499F6AA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32"/>
          <w:szCs w:val="32"/>
          <w:vertAlign w:val="baseline"/>
          <w:lang w:val="en-US" w:eastAsia="zh-CN"/>
          <w14:textFill>
            <w14:solidFill>
              <w14:schemeClr w14:val="tx1"/>
            </w14:solidFill>
          </w14:textFill>
        </w:rPr>
        <w:drawing>
          <wp:inline distT="0" distB="0" distL="114300" distR="114300">
            <wp:extent cx="5265420" cy="2787650"/>
            <wp:effectExtent l="0" t="0" r="11430" b="12700"/>
            <wp:docPr id="2" name="图片 2" descr="渡渡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渡渡鸟"/>
                    <pic:cNvPicPr>
                      <a:picLocks noChangeAspect="1"/>
                    </pic:cNvPicPr>
                  </pic:nvPicPr>
                  <pic:blipFill>
                    <a:blip r:embed="rId4"/>
                    <a:stretch>
                      <a:fillRect/>
                    </a:stretch>
                  </pic:blipFill>
                  <pic:spPr>
                    <a:xfrm>
                      <a:off x="0" y="0"/>
                      <a:ext cx="5265420" cy="2787650"/>
                    </a:xfrm>
                    <a:prstGeom prst="rect">
                      <a:avLst/>
                    </a:prstGeom>
                  </pic:spPr>
                </pic:pic>
              </a:graphicData>
            </a:graphic>
          </wp:inline>
        </w:drawing>
      </w:r>
    </w:p>
    <w:p w14:paraId="39184F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图2：手工耗材包2——翻翻卡设计，以渡渡鸟为例</w:t>
      </w:r>
    </w:p>
    <w:p w14:paraId="255C4D2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32"/>
          <w:szCs w:val="32"/>
          <w:vertAlign w:val="baseline"/>
          <w:lang w:val="en-US" w:eastAsia="zh-CN"/>
          <w14:textFill>
            <w14:solidFill>
              <w14:schemeClr w14:val="tx1"/>
            </w14:solidFill>
          </w14:textFill>
        </w:rPr>
        <w:drawing>
          <wp:inline distT="0" distB="0" distL="114300" distR="114300">
            <wp:extent cx="3399790" cy="1949450"/>
            <wp:effectExtent l="0" t="0" r="10160" b="12700"/>
            <wp:docPr id="3" name="图片 3" descr="翻翻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翻翻卡"/>
                    <pic:cNvPicPr>
                      <a:picLocks noChangeAspect="1"/>
                    </pic:cNvPicPr>
                  </pic:nvPicPr>
                  <pic:blipFill>
                    <a:blip r:embed="rId5"/>
                    <a:stretch>
                      <a:fillRect/>
                    </a:stretch>
                  </pic:blipFill>
                  <pic:spPr>
                    <a:xfrm>
                      <a:off x="0" y="0"/>
                      <a:ext cx="3399790" cy="1949450"/>
                    </a:xfrm>
                    <a:prstGeom prst="rect">
                      <a:avLst/>
                    </a:prstGeom>
                  </pic:spPr>
                </pic:pic>
              </a:graphicData>
            </a:graphic>
          </wp:inline>
        </w:drawing>
      </w:r>
    </w:p>
    <w:p w14:paraId="7356A03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b w:val="0"/>
          <w:bCs w:val="0"/>
          <w:color w:val="000000" w:themeColor="text1"/>
          <w:sz w:val="32"/>
          <w:szCs w:val="32"/>
          <w:vertAlign w:val="baseline"/>
          <w:lang w:val="en-US" w:eastAsia="zh-CN"/>
          <w14:textFill>
            <w14:solidFill>
              <w14:schemeClr w14:val="tx1"/>
            </w14:solidFill>
          </w14:textFill>
        </w:rPr>
      </w:pPr>
    </w:p>
    <w:p w14:paraId="064DEAE7">
      <w:pPr>
        <w:keepNext w:val="0"/>
        <w:keepLines w:val="0"/>
        <w:pageBreakBefore w:val="0"/>
        <w:widowControl w:val="0"/>
        <w:kinsoku/>
        <w:wordWrap/>
        <w:overflowPunct/>
        <w:topLinePunct w:val="0"/>
        <w:autoSpaceDE/>
        <w:autoSpaceDN/>
        <w:bidi w:val="0"/>
        <w:adjustRightInd/>
        <w:snapToGrid/>
        <w:spacing w:line="592" w:lineRule="exact"/>
        <w:ind w:firstLine="320" w:firstLineChars="100"/>
        <w:textAlignment w:val="auto"/>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PS：</w:t>
      </w:r>
    </w:p>
    <w:p w14:paraId="7ACD8FAE">
      <w:pPr>
        <w:keepNext w:val="0"/>
        <w:keepLines w:val="0"/>
        <w:pageBreakBefore w:val="0"/>
        <w:widowControl w:val="0"/>
        <w:kinsoku/>
        <w:wordWrap/>
        <w:overflowPunct/>
        <w:topLinePunct w:val="0"/>
        <w:autoSpaceDE/>
        <w:autoSpaceDN/>
        <w:bidi w:val="0"/>
        <w:adjustRightInd/>
        <w:snapToGrid/>
        <w:spacing w:line="592" w:lineRule="exact"/>
        <w:ind w:firstLine="320" w:firstLineChars="100"/>
        <w:textAlignment w:val="auto"/>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（1）上述图示为概念图，仅供参考；</w:t>
      </w:r>
    </w:p>
    <w:p w14:paraId="4C53B0F0">
      <w:pPr>
        <w:keepNext w:val="0"/>
        <w:keepLines w:val="0"/>
        <w:pageBreakBefore w:val="0"/>
        <w:widowControl w:val="0"/>
        <w:kinsoku/>
        <w:wordWrap/>
        <w:overflowPunct/>
        <w:topLinePunct w:val="0"/>
        <w:autoSpaceDE/>
        <w:autoSpaceDN/>
        <w:bidi w:val="0"/>
        <w:adjustRightInd/>
        <w:snapToGrid/>
        <w:spacing w:line="592" w:lineRule="exact"/>
        <w:ind w:firstLine="320" w:firstLineChars="100"/>
        <w:textAlignment w:val="auto"/>
        <w:rPr>
          <w:rFonts w:hint="default" w:ascii="仿宋" w:hAnsi="仿宋" w:eastAsia="仿宋" w:cs="仿宋"/>
          <w:bCs/>
          <w:color w:val="auto"/>
          <w:kern w:val="2"/>
          <w:szCs w:val="32"/>
          <w:lang w:val="en-US" w:eastAsia="zh-CN" w:bidi="ar"/>
        </w:rPr>
      </w:pPr>
      <w:r>
        <w:rPr>
          <w:rFonts w:hint="eastAsia" w:ascii="仿宋" w:hAnsi="仿宋" w:eastAsia="仿宋" w:cs="仿宋"/>
          <w:b w:val="0"/>
          <w:bCs w:val="0"/>
          <w:color w:val="000000" w:themeColor="text1"/>
          <w:sz w:val="32"/>
          <w:szCs w:val="32"/>
          <w:vertAlign w:val="baseline"/>
          <w:lang w:val="en-US" w:eastAsia="zh-CN"/>
          <w14:textFill>
            <w14:solidFill>
              <w14:schemeClr w14:val="tx1"/>
            </w14:solidFill>
          </w14:textFill>
        </w:rPr>
        <w:t>（2）图1中的渡渡鸟模型，在实际应用中要结合渡渡鸟配套材料包。该项目须有4种动物的配套材料包，结合图册手动完成后均可展示立体效果。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7DBD1A-17A9-45AB-B90E-3C346E681D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D1B95BA-A517-42BA-941C-788023A0F675}"/>
  </w:font>
  <w:font w:name="仿宋_GB2312">
    <w:panose1 w:val="02010609030101010101"/>
    <w:charset w:val="86"/>
    <w:family w:val="modern"/>
    <w:pitch w:val="default"/>
    <w:sig w:usb0="00000001" w:usb1="080E0000" w:usb2="00000000" w:usb3="00000000" w:csb0="00040000" w:csb1="00000000"/>
    <w:embedRegular r:id="rId3" w:fontKey="{77674898-D33E-4E32-AED9-004522471E5F}"/>
  </w:font>
  <w:font w:name="方正小标宋_GBK">
    <w:panose1 w:val="02000000000000000000"/>
    <w:charset w:val="86"/>
    <w:family w:val="script"/>
    <w:pitch w:val="default"/>
    <w:sig w:usb0="A00002BF" w:usb1="38CF7CFA" w:usb2="00082016" w:usb3="00000000" w:csb0="00040001" w:csb1="00000000"/>
    <w:embedRegular r:id="rId4" w:fontKey="{62A35F33-59B5-4160-A214-3923F8023C2B}"/>
  </w:font>
  <w:font w:name="仿宋">
    <w:panose1 w:val="02010609060101010101"/>
    <w:charset w:val="86"/>
    <w:family w:val="auto"/>
    <w:pitch w:val="default"/>
    <w:sig w:usb0="800002BF" w:usb1="38CF7CFA" w:usb2="00000016" w:usb3="00000000" w:csb0="00040001" w:csb1="00000000"/>
    <w:embedRegular r:id="rId5" w:fontKey="{0D50A8F9-C133-46AB-A67E-3E66B08C7E28}"/>
  </w:font>
  <w:font w:name="WPSEMBED2">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A00002BF" w:usb1="38CF7CFA" w:usb2="00082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7AD3F"/>
    <w:multiLevelType w:val="singleLevel"/>
    <w:tmpl w:val="8787AD3F"/>
    <w:lvl w:ilvl="0" w:tentative="0">
      <w:start w:val="3"/>
      <w:numFmt w:val="decimal"/>
      <w:suff w:val="nothing"/>
      <w:lvlText w:val="（%1）"/>
      <w:lvlJc w:val="left"/>
      <w:pPr>
        <w:ind w:left="0" w:firstLine="0"/>
      </w:pPr>
    </w:lvl>
  </w:abstractNum>
  <w:abstractNum w:abstractNumId="1">
    <w:nsid w:val="1B30679B"/>
    <w:multiLevelType w:val="singleLevel"/>
    <w:tmpl w:val="1B30679B"/>
    <w:lvl w:ilvl="0" w:tentative="0">
      <w:start w:val="1"/>
      <w:numFmt w:val="decimal"/>
      <w:lvlText w:val="%1."/>
      <w:lvlJc w:val="left"/>
      <w:pPr>
        <w:tabs>
          <w:tab w:val="left" w:pos="312"/>
        </w:tabs>
      </w:pPr>
    </w:lvl>
  </w:abstractNum>
  <w:abstractNum w:abstractNumId="2">
    <w:nsid w:val="53F2C774"/>
    <w:multiLevelType w:val="singleLevel"/>
    <w:tmpl w:val="53F2C774"/>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2NWE4NTZlM2M2MjcwZmJmNDYxMjM0YmQyYTllOTQifQ=="/>
  </w:docVars>
  <w:rsids>
    <w:rsidRoot w:val="63451861"/>
    <w:rsid w:val="020810A9"/>
    <w:rsid w:val="07155C37"/>
    <w:rsid w:val="07A96ED0"/>
    <w:rsid w:val="0A4E34CC"/>
    <w:rsid w:val="0ABD461B"/>
    <w:rsid w:val="0B8B5F47"/>
    <w:rsid w:val="0B9C4E2D"/>
    <w:rsid w:val="0D631E83"/>
    <w:rsid w:val="104135F9"/>
    <w:rsid w:val="104D11A4"/>
    <w:rsid w:val="15914644"/>
    <w:rsid w:val="1815582B"/>
    <w:rsid w:val="1B1464C1"/>
    <w:rsid w:val="1C112024"/>
    <w:rsid w:val="1E85041C"/>
    <w:rsid w:val="202C3CE4"/>
    <w:rsid w:val="233E54F2"/>
    <w:rsid w:val="24062738"/>
    <w:rsid w:val="24F274DB"/>
    <w:rsid w:val="2C9441B6"/>
    <w:rsid w:val="2DCB0DFF"/>
    <w:rsid w:val="2E7E6154"/>
    <w:rsid w:val="313C5FEE"/>
    <w:rsid w:val="313E1586"/>
    <w:rsid w:val="31C60708"/>
    <w:rsid w:val="33ED121E"/>
    <w:rsid w:val="34A13D2B"/>
    <w:rsid w:val="357D4824"/>
    <w:rsid w:val="367E6AA5"/>
    <w:rsid w:val="37FA4FBE"/>
    <w:rsid w:val="39AB415A"/>
    <w:rsid w:val="39DE7F87"/>
    <w:rsid w:val="3B7364AD"/>
    <w:rsid w:val="40CF2E1D"/>
    <w:rsid w:val="41AA301E"/>
    <w:rsid w:val="42552DB0"/>
    <w:rsid w:val="4271540A"/>
    <w:rsid w:val="453E5D7D"/>
    <w:rsid w:val="4545309C"/>
    <w:rsid w:val="45AE1ECC"/>
    <w:rsid w:val="48937675"/>
    <w:rsid w:val="493D30DD"/>
    <w:rsid w:val="4B5D6832"/>
    <w:rsid w:val="4B7762D4"/>
    <w:rsid w:val="4EB15812"/>
    <w:rsid w:val="503A2181"/>
    <w:rsid w:val="515B1A65"/>
    <w:rsid w:val="528B6C58"/>
    <w:rsid w:val="5394300C"/>
    <w:rsid w:val="53A94C3D"/>
    <w:rsid w:val="53C315B8"/>
    <w:rsid w:val="54051F56"/>
    <w:rsid w:val="5665084A"/>
    <w:rsid w:val="570F2CF5"/>
    <w:rsid w:val="59047A09"/>
    <w:rsid w:val="6276798B"/>
    <w:rsid w:val="6334544D"/>
    <w:rsid w:val="63451861"/>
    <w:rsid w:val="64814F72"/>
    <w:rsid w:val="65AF10D2"/>
    <w:rsid w:val="677C71DE"/>
    <w:rsid w:val="6B67752D"/>
    <w:rsid w:val="6BBC4E93"/>
    <w:rsid w:val="6C2C14E7"/>
    <w:rsid w:val="6CAC6B4D"/>
    <w:rsid w:val="6F8A1A3C"/>
    <w:rsid w:val="71907675"/>
    <w:rsid w:val="754C7AE7"/>
    <w:rsid w:val="75D7232A"/>
    <w:rsid w:val="783B7D77"/>
    <w:rsid w:val="78695E8F"/>
    <w:rsid w:val="79FB4DAB"/>
    <w:rsid w:val="7A910122"/>
    <w:rsid w:val="7AC14B45"/>
    <w:rsid w:val="7B190FE4"/>
    <w:rsid w:val="7C595588"/>
    <w:rsid w:val="7D4C20DE"/>
    <w:rsid w:val="7E5A6A7D"/>
    <w:rsid w:val="7E966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sz w:val="32"/>
      <w:lang w:val="en-US" w:eastAsia="zh-CN" w:bidi="ar-SA"/>
    </w:rPr>
  </w:style>
  <w:style w:type="paragraph" w:styleId="2">
    <w:name w:val="heading 1"/>
    <w:next w:val="1"/>
    <w:qFormat/>
    <w:uiPriority w:val="9"/>
    <w:pPr>
      <w:keepNext/>
      <w:keepLines/>
      <w:widowControl w:val="0"/>
      <w:spacing w:before="480" w:after="200"/>
      <w:jc w:val="both"/>
      <w:outlineLvl w:val="0"/>
    </w:pPr>
    <w:rPr>
      <w:rFonts w:ascii="Arial" w:hAnsi="Arial" w:eastAsia="Arial" w:cs="Arial"/>
      <w:sz w:val="40"/>
      <w:szCs w:val="40"/>
      <w:lang w:val="en-US" w:eastAsia="zh-CN" w:bidi="ar-SA"/>
    </w:rPr>
  </w:style>
  <w:style w:type="paragraph" w:styleId="3">
    <w:name w:val="heading 4"/>
    <w:next w:val="1"/>
    <w:unhideWhenUsed/>
    <w:qFormat/>
    <w:uiPriority w:val="9"/>
    <w:pPr>
      <w:keepNext/>
      <w:keepLines/>
      <w:widowControl w:val="0"/>
      <w:spacing w:before="320" w:after="200"/>
      <w:jc w:val="both"/>
      <w:outlineLvl w:val="3"/>
    </w:pPr>
    <w:rPr>
      <w:rFonts w:ascii="Arial" w:hAnsi="Arial" w:eastAsia="Arial" w:cs="Arial"/>
      <w:b/>
      <w:bCs/>
      <w:sz w:val="26"/>
      <w:szCs w:val="26"/>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0"/>
    <w:pPr>
      <w:spacing w:after="120"/>
    </w:pPr>
  </w:style>
  <w:style w:type="paragraph" w:styleId="6">
    <w:name w:val="Body Text Indent"/>
    <w:basedOn w:val="1"/>
    <w:semiHidden/>
    <w:unhideWhenUsed/>
    <w:qFormat/>
    <w:uiPriority w:val="99"/>
    <w:pPr>
      <w:spacing w:after="120"/>
      <w:ind w:left="420" w:leftChars="200"/>
    </w:pPr>
  </w:style>
  <w:style w:type="paragraph" w:styleId="7">
    <w:name w:val="Body Text First Indent 2"/>
    <w:basedOn w:val="6"/>
    <w:qFormat/>
    <w:uiPriority w:val="99"/>
    <w:pPr>
      <w:ind w:left="0" w:leftChars="0"/>
      <w:jc w:val="center"/>
    </w:pPr>
    <w:rPr>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11">
    <w:name w:val="MSG_EN_FONT_STYLE_NAME_TEMPLATE_ROLE_NUMBER MSG_EN_FONT_STYLE_NAME_BY_ROLE_TEXT 26"/>
    <w:basedOn w:val="1"/>
    <w:qFormat/>
    <w:uiPriority w:val="0"/>
    <w:pPr>
      <w:ind w:firstLine="0" w:firstLineChars="0"/>
    </w:pPr>
    <w:rPr>
      <w:rFonts w:hint="eastAsia" w:hAnsi="宋体" w:cs="Times New Roman"/>
      <w:spacing w:val="280"/>
      <w:kern w:val="0"/>
      <w:sz w:val="24"/>
      <w:szCs w:val="24"/>
    </w:rPr>
  </w:style>
  <w:style w:type="paragraph" w:customStyle="1" w:styleId="12">
    <w:name w:val="表格文字"/>
    <w:basedOn w:val="1"/>
    <w:next w:val="5"/>
    <w:qFormat/>
    <w:uiPriority w:val="0"/>
    <w:pPr>
      <w:adjustRightInd w:val="0"/>
      <w:spacing w:line="420" w:lineRule="atLeast"/>
      <w:jc w:val="left"/>
      <w:textAlignment w:val="baseline"/>
    </w:pPr>
    <w:rPr>
      <w:kern w:val="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3519</Words>
  <Characters>3604</Characters>
  <Lines>0</Lines>
  <Paragraphs>0</Paragraphs>
  <TotalTime>60</TotalTime>
  <ScaleCrop>false</ScaleCrop>
  <LinksUpToDate>false</LinksUpToDate>
  <CharactersWithSpaces>3610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2025-11-29T05:49:00Z</dcterms:created>
  <dc:creator>YJNaiad_雨</dc:creator>
  <cp:lastModifiedBy>YJNaiad_雨</cp:lastModifiedBy>
  <cp:lastPrinted>2026-07-04T03:22:00Z</cp:lastPrinted>
  <dcterms:modified xsi:type="dcterms:W3CDTF">2026-07-16T06:37:07Z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3E605A4588E14574BFE4310041573AD7_13</vt:lpwstr>
  </property>
  <property fmtid="{D5CDD505-2E9C-101B-9397-08002B2CF9AE}" pid="4" name="KSOTemplateDocerSaveRecord">
    <vt:lpwstr>eyJoZGlkIjoiZTkyMWM2MzU0NzE5MmU0YmZiNjk0NmU4YjA3YzIxMTciLCJ1c2VySWQiOiIzNjI1NjM0MzAifQ==</vt:lpwstr>
  </property>
</Properties>
</file>