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98C0C">
      <w:pPr>
        <w:widowControl/>
        <w:spacing w:line="585" w:lineRule="atLeast"/>
        <w:ind w:firstLine="645"/>
        <w:jc w:val="left"/>
        <w:textAlignment w:val="baseline"/>
        <w:rPr>
          <w:rFonts w:hint="default" w:ascii="仿宋_GB2312" w:hAnsi="inherit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inherit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</w:p>
    <w:p w14:paraId="305E4E95">
      <w:pPr>
        <w:jc w:val="center"/>
        <w:rPr>
          <w:rFonts w:ascii="仿宋" w:hAnsi="仿宋" w:eastAsia="仿宋" w:cs="方正小标宋_GBK"/>
          <w:b/>
          <w:bCs/>
          <w:sz w:val="30"/>
          <w:szCs w:val="30"/>
        </w:rPr>
      </w:pPr>
      <w:r>
        <w:rPr>
          <w:rFonts w:hint="eastAsia" w:ascii="仿宋" w:hAnsi="仿宋" w:eastAsia="仿宋" w:cs="方正小标宋_GBK"/>
          <w:b/>
          <w:bCs/>
          <w:sz w:val="30"/>
          <w:szCs w:val="30"/>
        </w:rPr>
        <w:t>报价单</w:t>
      </w:r>
    </w:p>
    <w:p w14:paraId="6D50142B">
      <w:pPr>
        <w:rPr>
          <w:rFonts w:hint="eastAsia" w:ascii="仿宋" w:hAnsi="仿宋" w:eastAsia="仿宋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14:ligatures w14:val="none"/>
        </w:rPr>
        <w:t>采购方：合肥市科技馆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743"/>
        <w:gridCol w:w="1823"/>
        <w:gridCol w:w="772"/>
        <w:gridCol w:w="780"/>
        <w:gridCol w:w="1118"/>
        <w:gridCol w:w="1080"/>
        <w:gridCol w:w="1230"/>
      </w:tblGrid>
      <w:tr w14:paraId="60F5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485" w:type="dxa"/>
          </w:tcPr>
          <w:p w14:paraId="2164D651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/>
                <w:bCs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</w:rPr>
              <w:t>序号</w:t>
            </w:r>
          </w:p>
        </w:tc>
        <w:tc>
          <w:tcPr>
            <w:tcW w:w="743" w:type="dxa"/>
          </w:tcPr>
          <w:p w14:paraId="3DD23267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/>
                <w:bCs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</w:rPr>
              <w:t>名称</w:t>
            </w:r>
          </w:p>
        </w:tc>
        <w:tc>
          <w:tcPr>
            <w:tcW w:w="1823" w:type="dxa"/>
          </w:tcPr>
          <w:p w14:paraId="22AF49B1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/>
                <w:bCs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</w:rPr>
              <w:t>技术要求</w:t>
            </w:r>
          </w:p>
        </w:tc>
        <w:tc>
          <w:tcPr>
            <w:tcW w:w="772" w:type="dxa"/>
          </w:tcPr>
          <w:p w14:paraId="1AD48A79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/>
                <w:bCs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</w:rPr>
              <w:t>计量单位</w:t>
            </w:r>
          </w:p>
        </w:tc>
        <w:tc>
          <w:tcPr>
            <w:tcW w:w="780" w:type="dxa"/>
          </w:tcPr>
          <w:p w14:paraId="015C21E5">
            <w:pPr>
              <w:widowControl/>
              <w:spacing w:line="585" w:lineRule="atLeast"/>
              <w:textAlignment w:val="baseline"/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</w:rPr>
              <w:t>数量</w:t>
            </w: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  <w:lang w:val="en-US" w:eastAsia="zh-CN"/>
              </w:rPr>
              <w:t>公斤</w:t>
            </w: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118" w:type="dxa"/>
          </w:tcPr>
          <w:p w14:paraId="610C0F58">
            <w:pPr>
              <w:widowControl/>
              <w:spacing w:line="585" w:lineRule="atLeast"/>
              <w:jc w:val="center"/>
              <w:textAlignment w:val="baseline"/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  <w:lang w:val="en-US" w:eastAsia="zh-CN"/>
              </w:rPr>
              <w:t>单价（公斤/元）</w:t>
            </w:r>
          </w:p>
        </w:tc>
        <w:tc>
          <w:tcPr>
            <w:tcW w:w="1080" w:type="dxa"/>
          </w:tcPr>
          <w:p w14:paraId="676B84C9">
            <w:pPr>
              <w:widowControl/>
              <w:spacing w:line="585" w:lineRule="atLeast"/>
              <w:jc w:val="center"/>
              <w:textAlignment w:val="baseline"/>
              <w:rPr>
                <w:rFonts w:hint="default" w:ascii="仿宋_GB2312" w:hAnsi="仿宋" w:eastAsia="仿宋_GB2312" w:cs="仿宋_GB2312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  <w:lang w:val="en-US" w:eastAsia="zh-CN"/>
              </w:rPr>
              <w:t>总价</w:t>
            </w:r>
          </w:p>
        </w:tc>
        <w:tc>
          <w:tcPr>
            <w:tcW w:w="1230" w:type="dxa"/>
          </w:tcPr>
          <w:p w14:paraId="1485F0F8">
            <w:pPr>
              <w:widowControl/>
              <w:spacing w:line="585" w:lineRule="atLeast"/>
              <w:jc w:val="center"/>
              <w:textAlignment w:val="baseline"/>
              <w:rPr>
                <w:rFonts w:hint="default" w:ascii="仿宋_GB2312" w:hAnsi="仿宋" w:eastAsia="仿宋_GB2312" w:cs="仿宋_GB2312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</w:tr>
      <w:tr w14:paraId="432D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485" w:type="dxa"/>
          </w:tcPr>
          <w:p w14:paraId="604CCFE2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14:paraId="3CA37D31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  <w:szCs w:val="24"/>
              </w:rPr>
              <w:t>液化石油气</w:t>
            </w:r>
          </w:p>
        </w:tc>
        <w:tc>
          <w:tcPr>
            <w:tcW w:w="1823" w:type="dxa"/>
          </w:tcPr>
          <w:p w14:paraId="2A424D9A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  <w:szCs w:val="24"/>
              </w:rPr>
              <w:t>热值：不低于45200千焦/公斤</w:t>
            </w:r>
          </w:p>
        </w:tc>
        <w:tc>
          <w:tcPr>
            <w:tcW w:w="772" w:type="dxa"/>
          </w:tcPr>
          <w:p w14:paraId="29041402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  <w:szCs w:val="24"/>
              </w:rPr>
              <w:t>公斤</w:t>
            </w:r>
          </w:p>
        </w:tc>
        <w:tc>
          <w:tcPr>
            <w:tcW w:w="780" w:type="dxa"/>
          </w:tcPr>
          <w:p w14:paraId="54A7D268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  <w:szCs w:val="24"/>
                <w:lang w:val="en-US" w:eastAsia="zh-CN"/>
              </w:rPr>
              <w:t>5160</w:t>
            </w:r>
          </w:p>
        </w:tc>
        <w:tc>
          <w:tcPr>
            <w:tcW w:w="1118" w:type="dxa"/>
          </w:tcPr>
          <w:p w14:paraId="4DBACFE8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3B0E0B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9FBE288">
            <w:pPr>
              <w:widowControl/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4"/>
                <w:szCs w:val="24"/>
              </w:rPr>
            </w:pPr>
          </w:p>
        </w:tc>
      </w:tr>
      <w:tr w14:paraId="40AE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1" w:type="dxa"/>
            <w:gridSpan w:val="8"/>
          </w:tcPr>
          <w:p w14:paraId="725DCFD1">
            <w:pPr>
              <w:widowControl/>
              <w:tabs>
                <w:tab w:val="left" w:pos="2460"/>
              </w:tabs>
              <w:spacing w:line="585" w:lineRule="atLeast"/>
              <w:textAlignment w:val="baseline"/>
              <w:rPr>
                <w:rFonts w:ascii="仿宋_GB2312" w:hAnsi="仿宋" w:eastAsia="仿宋_GB2312" w:cs="仿宋_GB2312"/>
                <w:b/>
                <w:bCs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sz w:val="22"/>
                <w:szCs w:val="24"/>
              </w:rPr>
              <w:t>说明:</w:t>
            </w:r>
          </w:p>
          <w:p w14:paraId="28887690">
            <w:pPr>
              <w:widowControl/>
              <w:tabs>
                <w:tab w:val="left" w:pos="2460"/>
              </w:tabs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2"/>
                <w:szCs w:val="24"/>
              </w:rPr>
              <w:t>1.报价供应商应当对所投包内所有产品和数量进行唯一报价，否则视为无效报价。</w:t>
            </w:r>
          </w:p>
          <w:p w14:paraId="61583313">
            <w:pPr>
              <w:widowControl/>
              <w:tabs>
                <w:tab w:val="left" w:pos="2460"/>
              </w:tabs>
              <w:spacing w:line="585" w:lineRule="atLeast"/>
              <w:textAlignment w:val="baseline"/>
              <w:rPr>
                <w:rFonts w:ascii="仿宋_GB2312" w:hAnsi="仿宋" w:eastAsia="仿宋_GB2312" w:cs="仿宋_GB2312"/>
                <w:bCs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2"/>
                <w:szCs w:val="24"/>
              </w:rPr>
              <w:t>2.报价应当包括所有物资供应、运输、安装调试、技术培训、售后服务、备品备件和伴随服务等价格。</w:t>
            </w:r>
          </w:p>
          <w:p w14:paraId="5D96CDC3">
            <w:pPr>
              <w:keepNext/>
              <w:keepLines/>
              <w:widowControl w:val="0"/>
              <w:shd w:val="clear" w:color="auto" w:fill="FFFFFF"/>
              <w:spacing w:before="0" w:after="0" w:line="360" w:lineRule="atLeast"/>
              <w:jc w:val="both"/>
              <w:outlineLvl w:val="0"/>
              <w:rPr>
                <w:rFonts w:hint="eastAsia" w:ascii="仿宋_GB2312" w:hAnsi="仿宋" w:eastAsia="仿宋_GB2312" w:cs="仿宋_GB2312"/>
                <w:b w:val="0"/>
                <w:bCs/>
                <w:kern w:val="44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kern w:val="44"/>
                <w:sz w:val="22"/>
                <w:szCs w:val="24"/>
                <w:lang w:val="en-US" w:eastAsia="zh-CN" w:bidi="ar-SA"/>
              </w:rPr>
              <w:t>3.报价供应商应当保证所投物资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kern w:val="44"/>
                <w:sz w:val="22"/>
                <w:szCs w:val="24"/>
                <w:lang w:val="en-US" w:eastAsia="zh-CN" w:bidi="ar-SA"/>
              </w:rPr>
              <w:t>质量符合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333333"/>
                <w:kern w:val="44"/>
                <w:sz w:val="22"/>
                <w:szCs w:val="24"/>
                <w:lang w:val="en-US" w:eastAsia="zh-CN" w:bidi="ar-SA"/>
              </w:rPr>
              <w:t>GB11174-2011液化石油气标准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kern w:val="44"/>
                <w:sz w:val="22"/>
                <w:szCs w:val="24"/>
                <w:lang w:val="en-US" w:eastAsia="zh-CN" w:bidi="ar-SA"/>
              </w:rPr>
              <w:t>。</w:t>
            </w:r>
          </w:p>
        </w:tc>
      </w:tr>
    </w:tbl>
    <w:p w14:paraId="2A9CEC90">
      <w:pPr>
        <w:spacing w:after="0" w:line="592" w:lineRule="exact"/>
        <w:ind w:firstLine="640" w:firstLineChars="200"/>
        <w:jc w:val="both"/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</w:pPr>
    </w:p>
    <w:p w14:paraId="1F2E9448">
      <w:pPr>
        <w:spacing w:after="0" w:line="592" w:lineRule="exact"/>
        <w:jc w:val="both"/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  <w:t xml:space="preserve">投标单位名称(盖章):  </w:t>
      </w:r>
    </w:p>
    <w:p w14:paraId="3956393A">
      <w:pPr>
        <w:spacing w:after="0" w:line="592" w:lineRule="exact"/>
        <w:ind w:firstLine="640" w:firstLineChars="200"/>
        <w:jc w:val="both"/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  <w:t xml:space="preserve"> </w:t>
      </w:r>
    </w:p>
    <w:p w14:paraId="2E7C732E">
      <w:pPr>
        <w:spacing w:after="0" w:line="592" w:lineRule="exact"/>
        <w:jc w:val="both"/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  <w:t xml:space="preserve">投标单位法定代表人或授权代表人（签字）：                             </w:t>
      </w:r>
    </w:p>
    <w:p w14:paraId="2F0C4F39">
      <w:pPr>
        <w:spacing w:after="0" w:line="592" w:lineRule="exact"/>
        <w:jc w:val="both"/>
        <w:rPr>
          <w:rFonts w:hint="eastAsia" w:ascii="仿宋_GB2312" w:hAnsi="仿宋" w:eastAsia="仿宋_GB2312" w:cs="Times New Roman"/>
          <w:bCs/>
          <w:sz w:val="28"/>
          <w:szCs w:val="28"/>
          <w:lang w:bidi="zh-CN"/>
          <w14:ligatures w14:val="none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  <w:t>投标单位联系方式：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bidi="zh-CN"/>
          <w14:ligatures w14:val="none"/>
        </w:rPr>
        <w:t xml:space="preserve">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  <w14:ligatures w14:val="none"/>
        </w:rPr>
        <w:t>日期：</w:t>
      </w:r>
    </w:p>
    <w:p w14:paraId="36C8C5EC"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  <w14:ligatures w14:val="none"/>
        </w:rPr>
        <w:t>注：投标单位如需对报价或其它内容加以说明，可在备注一栏中填写。此表应经投标单位法定代表人签名，并盖上投标单位公章。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2026-03-18T01:28:40Z</dcterms:created>
  <dc:creator>95606</dc:creator>
  <cp:lastModifiedBy>烟雨江南</cp:lastModifiedBy>
  <dcterms:modified xsi:type="dcterms:W3CDTF">2026-03-18T01:29:02Z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eyJoZGlkIjoiOGRkYjAyZTZmNDMyZTEwM2JkMGY2YjEyZTcxZmE4NGMiLCJ1c2VySWQiOiI1NjA4MzI0MDEifQ==</vt:lpwstr>
  </property>
  <property fmtid="{D5CDD505-2E9C-101B-9397-08002B2CF9AE}" pid="4" name="ICV">
    <vt:lpwstr>5A59E13F156E4B21A084D7F1FDED532B_13</vt:lpwstr>
  </property>
</Properties>
</file>